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AB7EA" w14:textId="77777777" w:rsidR="008E1BEE" w:rsidRDefault="0082392A">
      <w:pPr>
        <w:spacing w:after="60"/>
      </w:pPr>
      <w:r>
        <w:rPr>
          <w:rFonts w:ascii="Cambria" w:eastAsia="Cambria" w:hAnsi="Cambria" w:cs="Cambria"/>
          <w:b/>
          <w:bCs/>
          <w:color w:val="0E6E67"/>
          <w:sz w:val="44"/>
          <w:szCs w:val="44"/>
        </w:rPr>
        <w:t>Non-Fatal Strangulation in Teenagers</w:t>
      </w:r>
    </w:p>
    <w:p w14:paraId="49313C45" w14:textId="77777777" w:rsidR="008E1BEE" w:rsidRDefault="0082392A">
      <w:pPr>
        <w:pBdr>
          <w:bottom w:val="single" w:sz="6" w:space="6" w:color="0E6E67"/>
        </w:pBdr>
        <w:spacing w:before="320" w:after="120"/>
      </w:pPr>
      <w:r>
        <w:rPr>
          <w:rFonts w:ascii="Cambria" w:eastAsia="Cambria" w:hAnsi="Cambria" w:cs="Cambria"/>
          <w:b/>
          <w:bCs/>
          <w:color w:val="0E6E67"/>
          <w:sz w:val="27"/>
          <w:szCs w:val="27"/>
        </w:rPr>
        <w:t>What is non-fatal strangulation, and why does it matter?</w:t>
      </w:r>
    </w:p>
    <w:p w14:paraId="00E1F5DE" w14:textId="77777777" w:rsidR="008E1BEE" w:rsidRDefault="0082392A">
      <w:pPr>
        <w:spacing w:after="160"/>
      </w:pPr>
      <w:r>
        <w:rPr>
          <w:rFonts w:ascii="Calibri" w:eastAsia="Calibri" w:hAnsi="Calibri" w:cs="Calibri"/>
          <w:color w:val="1B1B2A"/>
          <w:sz w:val="23"/>
          <w:szCs w:val="23"/>
        </w:rPr>
        <w:t>Non-fatal strangulation, or NFS, is the application of pressure to the neck that restricts breathing or blood flow. It can happen during an assault or, increasingly, in a sexual context young people describe as consensual. There is no safe way to be strangled: even a few seconds of pressure can damage blood vessels or the airway, and symptoms like headaches, voice changes or memory problems can appear hours or even days later. Fewer than half of victims show any visible injury, so the absence of marks tells us nothing about the level of risk.</w:t>
      </w:r>
    </w:p>
    <w:p w14:paraId="77A1EE1B" w14:textId="77777777" w:rsidR="008E1BEE" w:rsidRDefault="0082392A">
      <w:pPr>
        <w:spacing w:after="160"/>
      </w:pPr>
      <w:r>
        <w:rPr>
          <w:rFonts w:ascii="Calibri" w:eastAsia="Calibri" w:hAnsi="Calibri" w:cs="Calibri"/>
          <w:color w:val="1B1B2A"/>
          <w:sz w:val="23"/>
          <w:szCs w:val="23"/>
        </w:rPr>
        <w:t>NFS became a standalone criminal offence in England and Wales under Section 70 of the Domestic Abuse Act 2021, in force since June 2022. That change reflects a hard-won piece of evidence from domestic homicide research: strangulation is one of the strongest known predictors of a victim later being killed by the same partner. When strangulation shows up in a teenager's relationship, it should be treated as a serious escalation, not a one-off.</w:t>
      </w:r>
    </w:p>
    <w:p w14:paraId="1A388550" w14:textId="77777777" w:rsidR="008E1BEE" w:rsidRDefault="0082392A">
      <w:pPr>
        <w:pBdr>
          <w:bottom w:val="single" w:sz="6" w:space="6" w:color="0E6E67"/>
        </w:pBdr>
        <w:spacing w:before="320" w:after="120"/>
      </w:pPr>
      <w:r>
        <w:rPr>
          <w:rFonts w:ascii="Cambria" w:eastAsia="Cambria" w:hAnsi="Cambria" w:cs="Cambria"/>
          <w:b/>
          <w:bCs/>
          <w:color w:val="0E6E67"/>
          <w:sz w:val="27"/>
          <w:szCs w:val="27"/>
        </w:rPr>
        <w:t>What the data tells us about teenagers right now</w:t>
      </w:r>
    </w:p>
    <w:p w14:paraId="055F04B0" w14:textId="77777777" w:rsidR="008E1BEE" w:rsidRDefault="0082392A">
      <w:pPr>
        <w:spacing w:after="160"/>
      </w:pPr>
      <w:r>
        <w:rPr>
          <w:rFonts w:ascii="Calibri" w:eastAsia="Calibri" w:hAnsi="Calibri" w:cs="Calibri"/>
          <w:color w:val="1B1B2A"/>
          <w:sz w:val="23"/>
          <w:szCs w:val="23"/>
        </w:rPr>
        <w:t>Two things are happening at once for this age group, and both matter. First, strangulation is increasingly showing up as part of consensual sexual activity among young people — largely driven by exposure to strangulation in pornography, which has become a de facto sex educator for many teenagers. Second, it continues to appear as a marker of coercive and violent relationships, and services that work with young survivors are seeing it more often.</w:t>
      </w:r>
    </w:p>
    <w:p w14:paraId="29439760" w14:textId="77777777" w:rsidR="008E1BEE" w:rsidRDefault="0082392A">
      <w:pPr>
        <w:pStyle w:val="ListParagraph"/>
        <w:numPr>
          <w:ilvl w:val="0"/>
          <w:numId w:val="1"/>
        </w:numPr>
        <w:spacing w:after="100"/>
      </w:pPr>
      <w:r>
        <w:rPr>
          <w:rFonts w:ascii="Calibri" w:eastAsia="Calibri" w:hAnsi="Calibri" w:cs="Calibri"/>
          <w:color w:val="1B1B2A"/>
          <w:sz w:val="22"/>
          <w:szCs w:val="22"/>
        </w:rPr>
        <w:t>A 2025 UK-wide survey by the Institute for Addressing Strangulation and Bangor University found that 55% of 16–34-year-olds had either experienced strangulation during sex or done it to a partner, and around a third had been strangled at least once.</w:t>
      </w:r>
    </w:p>
    <w:p w14:paraId="211303A3" w14:textId="77777777" w:rsidR="008E1BEE" w:rsidRDefault="0082392A">
      <w:pPr>
        <w:pStyle w:val="ListParagraph"/>
        <w:numPr>
          <w:ilvl w:val="0"/>
          <w:numId w:val="1"/>
        </w:numPr>
        <w:spacing w:after="100"/>
      </w:pPr>
      <w:r>
        <w:rPr>
          <w:rFonts w:ascii="Calibri" w:eastAsia="Calibri" w:hAnsi="Calibri" w:cs="Calibri"/>
          <w:color w:val="1B1B2A"/>
          <w:sz w:val="22"/>
          <w:szCs w:val="22"/>
        </w:rPr>
        <w:t>Within that same research, 12% of all 16–17-year-olds surveyed said they had strangled a partner during sex — the youngest age group asked, which shows how early this behaviour is starting.</w:t>
      </w:r>
    </w:p>
    <w:p w14:paraId="717F3BCF" w14:textId="77777777" w:rsidR="008E1BEE" w:rsidRDefault="0082392A">
      <w:pPr>
        <w:pStyle w:val="ListParagraph"/>
        <w:numPr>
          <w:ilvl w:val="0"/>
          <w:numId w:val="1"/>
        </w:numPr>
        <w:spacing w:after="100"/>
      </w:pPr>
      <w:r>
        <w:rPr>
          <w:rFonts w:ascii="Calibri" w:eastAsia="Calibri" w:hAnsi="Calibri" w:cs="Calibri"/>
          <w:color w:val="1B1B2A"/>
          <w:sz w:val="22"/>
          <w:szCs w:val="22"/>
        </w:rPr>
        <w:t>Refuge's 2024–25 data shows young people made up 16% of all new referrals to their services. Of those who reported physical violence, half said they had been strangled or suffocated — a rise of 9 percentage points on the year before, and Refuge describes this as a well-established predictor of future domestic homicide.</w:t>
      </w:r>
    </w:p>
    <w:p w14:paraId="39266BDC" w14:textId="4BE9391E" w:rsidR="008E1BEE" w:rsidRDefault="0082392A">
      <w:pPr>
        <w:pStyle w:val="ListParagraph"/>
        <w:numPr>
          <w:ilvl w:val="0"/>
          <w:numId w:val="1"/>
        </w:numPr>
        <w:spacing w:after="100"/>
      </w:pPr>
      <w:r>
        <w:rPr>
          <w:rFonts w:ascii="Calibri" w:eastAsia="Calibri" w:hAnsi="Calibri" w:cs="Calibri"/>
          <w:color w:val="1B1B2A"/>
          <w:sz w:val="22"/>
          <w:szCs w:val="22"/>
        </w:rPr>
        <w:t xml:space="preserve">SafeLives' research consistently finds that 13–17-year-olds experience the highest rates of domestic abuse of any age </w:t>
      </w:r>
      <w:r w:rsidR="00FB483E">
        <w:rPr>
          <w:rFonts w:ascii="Calibri" w:eastAsia="Calibri" w:hAnsi="Calibri" w:cs="Calibri"/>
          <w:color w:val="1B1B2A"/>
          <w:sz w:val="22"/>
          <w:szCs w:val="22"/>
        </w:rPr>
        <w:t>group but</w:t>
      </w:r>
      <w:r>
        <w:rPr>
          <w:rFonts w:ascii="Calibri" w:eastAsia="Calibri" w:hAnsi="Calibri" w:cs="Calibri"/>
          <w:color w:val="1B1B2A"/>
          <w:sz w:val="22"/>
          <w:szCs w:val="22"/>
        </w:rPr>
        <w:t xml:space="preserve"> are the least visible to services — most tell a friend rather than an adult or professional.</w:t>
      </w:r>
    </w:p>
    <w:p w14:paraId="1204B3E9" w14:textId="77777777" w:rsidR="008E1BEE" w:rsidRDefault="0082392A">
      <w:pPr>
        <w:pStyle w:val="ListParagraph"/>
        <w:numPr>
          <w:ilvl w:val="0"/>
          <w:numId w:val="1"/>
        </w:numPr>
        <w:spacing w:after="100"/>
      </w:pPr>
      <w:r>
        <w:rPr>
          <w:rFonts w:ascii="Calibri" w:eastAsia="Calibri" w:hAnsi="Calibri" w:cs="Calibri"/>
          <w:color w:val="1B1B2A"/>
          <w:sz w:val="22"/>
          <w:szCs w:val="22"/>
        </w:rPr>
        <w:t>Younger teenagers involved with gangs or showing signs of exploitation are especially exposed: Youth Endowment Fund research found 83% of gang-involved teenagers and 79% of those showing signs of exploitation reported experiencing violent or controlling behaviour in a relationship.</w:t>
      </w:r>
    </w:p>
    <w:p w14:paraId="5976B514" w14:textId="77777777" w:rsidR="008E1BEE" w:rsidRDefault="0082392A">
      <w:pPr>
        <w:pBdr>
          <w:bottom w:val="single" w:sz="6" w:space="6" w:color="0E6E67"/>
        </w:pBdr>
        <w:spacing w:before="320" w:after="120"/>
      </w:pPr>
      <w:r>
        <w:rPr>
          <w:rFonts w:ascii="Cambria" w:eastAsia="Cambria" w:hAnsi="Cambria" w:cs="Cambria"/>
          <w:b/>
          <w:bCs/>
          <w:color w:val="0E6E67"/>
          <w:sz w:val="27"/>
          <w:szCs w:val="27"/>
        </w:rPr>
        <w:t>Why teenagers are a distinct risk group</w:t>
      </w:r>
    </w:p>
    <w:p w14:paraId="3A0DAC63" w14:textId="77777777" w:rsidR="008E1BEE" w:rsidRDefault="0082392A">
      <w:pPr>
        <w:spacing w:after="160"/>
      </w:pPr>
      <w:r>
        <w:rPr>
          <w:rFonts w:ascii="Calibri" w:eastAsia="Calibri" w:hAnsi="Calibri" w:cs="Calibri"/>
          <w:color w:val="1B1B2A"/>
          <w:sz w:val="23"/>
          <w:szCs w:val="23"/>
        </w:rPr>
        <w:t>Adolescent brain development affects impulse control, risk-taking and decision-making, which shapes how young people respond to controlling or violent partners. Many don't recognise strangulation as abuse, particularly when it has been framed to them as a normal part of sex. Because disclosure overwhelmingly happens within peer groups rather than to adults, professionals often only hear about it much later, if at all — which is exactly why routinely asking about it, rather than waiting for a disclosure, matters so much.</w:t>
      </w:r>
    </w:p>
    <w:p w14:paraId="399B2FED" w14:textId="77777777" w:rsidR="008E1BEE" w:rsidRDefault="0082392A">
      <w:pPr>
        <w:pBdr>
          <w:bottom w:val="single" w:sz="6" w:space="6" w:color="0E6E67"/>
        </w:pBdr>
        <w:spacing w:before="320" w:after="120"/>
      </w:pPr>
      <w:r>
        <w:rPr>
          <w:rFonts w:ascii="Cambria" w:eastAsia="Cambria" w:hAnsi="Cambria" w:cs="Cambria"/>
          <w:b/>
          <w:bCs/>
          <w:color w:val="0E6E67"/>
          <w:sz w:val="27"/>
          <w:szCs w:val="27"/>
        </w:rPr>
        <w:t>The Newham picture</w:t>
      </w:r>
    </w:p>
    <w:p w14:paraId="118A6866" w14:textId="77777777" w:rsidR="008E1BEE" w:rsidRDefault="0082392A">
      <w:pPr>
        <w:spacing w:after="160"/>
      </w:pPr>
      <w:r>
        <w:rPr>
          <w:rFonts w:ascii="Calibri" w:eastAsia="Calibri" w:hAnsi="Calibri" w:cs="Calibri"/>
          <w:color w:val="1B1B2A"/>
          <w:sz w:val="23"/>
          <w:szCs w:val="23"/>
        </w:rPr>
        <w:lastRenderedPageBreak/>
        <w:t>There isn't yet a published, Newham-specific figure for non-fatal strangulation among teenagers — this is a genuinely under-recorded area everywhere, not just locally. But the national and regional data lands on fertile ground here: Newham has one of the youngest population profiles in London, is consistently among the highest boroughs for reported domestic abuse, and the Hub is already working with children and young people through the CIDVA service and joint work with social workers. That puts us in a strong position to start asking about strangulation routinely and building a clearer local picture over time, rather than waiting for national data to catch up.</w:t>
      </w:r>
    </w:p>
    <w:p w14:paraId="05D3C79B" w14:textId="77777777" w:rsidR="008E1BEE" w:rsidRDefault="0082392A">
      <w:pPr>
        <w:pBdr>
          <w:bottom w:val="single" w:sz="6" w:space="6" w:color="0E6E67"/>
        </w:pBdr>
        <w:spacing w:before="320" w:after="120"/>
      </w:pPr>
      <w:r>
        <w:rPr>
          <w:rFonts w:ascii="Cambria" w:eastAsia="Cambria" w:hAnsi="Cambria" w:cs="Cambria"/>
          <w:b/>
          <w:bCs/>
          <w:color w:val="0E6E67"/>
          <w:sz w:val="27"/>
          <w:szCs w:val="27"/>
        </w:rPr>
        <w:t>Key statistics to share</w:t>
      </w:r>
    </w:p>
    <w:tbl>
      <w:tblPr>
        <w:tblW w:w="5000" w:type="pct"/>
        <w:tblCellMar>
          <w:left w:w="10" w:type="dxa"/>
          <w:right w:w="10" w:type="dxa"/>
        </w:tblCellMar>
        <w:tblLook w:val="0000" w:firstRow="0" w:lastRow="0" w:firstColumn="0" w:lastColumn="0" w:noHBand="0" w:noVBand="0"/>
      </w:tblPr>
      <w:tblGrid>
        <w:gridCol w:w="4350"/>
        <w:gridCol w:w="5556"/>
      </w:tblGrid>
      <w:tr w:rsidR="008E1BEE" w14:paraId="7B8D7E12" w14:textId="77777777">
        <w:tc>
          <w:tcPr>
            <w:tcW w:w="0" w:type="auto"/>
            <w:shd w:val="clear" w:color="auto" w:fill="EAF6F4"/>
            <w:tcMar>
              <w:top w:w="160" w:type="dxa"/>
              <w:left w:w="200" w:type="dxa"/>
              <w:bottom w:w="160" w:type="dxa"/>
              <w:right w:w="200" w:type="dxa"/>
            </w:tcMar>
            <w:vAlign w:val="center"/>
          </w:tcPr>
          <w:p w14:paraId="289D41C7" w14:textId="77777777" w:rsidR="008E1BEE" w:rsidRDefault="0082392A">
            <w:pPr>
              <w:spacing w:after="40"/>
            </w:pPr>
            <w:r>
              <w:rPr>
                <w:rFonts w:ascii="Calibri" w:eastAsia="Calibri" w:hAnsi="Calibri" w:cs="Calibri"/>
                <w:b/>
                <w:bCs/>
                <w:color w:val="E8604C"/>
                <w:sz w:val="30"/>
                <w:szCs w:val="30"/>
              </w:rPr>
              <w:t>55%</w:t>
            </w:r>
          </w:p>
          <w:p w14:paraId="33F1392C" w14:textId="77777777" w:rsidR="008E1BEE" w:rsidRDefault="0082392A">
            <w:r>
              <w:rPr>
                <w:rFonts w:ascii="Calibri" w:eastAsia="Calibri" w:hAnsi="Calibri" w:cs="Calibri"/>
                <w:color w:val="5B6478"/>
                <w:sz w:val="19"/>
                <w:szCs w:val="19"/>
              </w:rPr>
              <w:t>of 16–</w:t>
            </w:r>
            <w:proofErr w:type="gramStart"/>
            <w:r>
              <w:rPr>
                <w:rFonts w:ascii="Calibri" w:eastAsia="Calibri" w:hAnsi="Calibri" w:cs="Calibri"/>
                <w:color w:val="5B6478"/>
                <w:sz w:val="19"/>
                <w:szCs w:val="19"/>
              </w:rPr>
              <w:t>34 year olds</w:t>
            </w:r>
            <w:proofErr w:type="gramEnd"/>
            <w:r>
              <w:rPr>
                <w:rFonts w:ascii="Calibri" w:eastAsia="Calibri" w:hAnsi="Calibri" w:cs="Calibri"/>
                <w:color w:val="5B6478"/>
                <w:sz w:val="19"/>
                <w:szCs w:val="19"/>
              </w:rPr>
              <w:t xml:space="preserve"> have either experienced strangulation during sex or done it to a partner (IFAS/Bangor University, 2025)</w:t>
            </w:r>
          </w:p>
        </w:tc>
        <w:tc>
          <w:tcPr>
            <w:tcW w:w="0" w:type="auto"/>
            <w:shd w:val="clear" w:color="auto" w:fill="EAF6F4"/>
            <w:tcMar>
              <w:top w:w="160" w:type="dxa"/>
              <w:left w:w="200" w:type="dxa"/>
              <w:bottom w:w="160" w:type="dxa"/>
              <w:right w:w="200" w:type="dxa"/>
            </w:tcMar>
            <w:vAlign w:val="center"/>
          </w:tcPr>
          <w:p w14:paraId="482B2A92" w14:textId="77777777" w:rsidR="008E1BEE" w:rsidRDefault="0082392A">
            <w:pPr>
              <w:spacing w:after="40"/>
            </w:pPr>
            <w:r>
              <w:rPr>
                <w:rFonts w:ascii="Calibri" w:eastAsia="Calibri" w:hAnsi="Calibri" w:cs="Calibri"/>
                <w:b/>
                <w:bCs/>
                <w:color w:val="E8604C"/>
                <w:sz w:val="30"/>
                <w:szCs w:val="30"/>
              </w:rPr>
              <w:t>35%</w:t>
            </w:r>
          </w:p>
          <w:p w14:paraId="3B0CF7DC" w14:textId="77777777" w:rsidR="008E1BEE" w:rsidRDefault="0082392A">
            <w:r>
              <w:rPr>
                <w:rFonts w:ascii="Calibri" w:eastAsia="Calibri" w:hAnsi="Calibri" w:cs="Calibri"/>
                <w:color w:val="5B6478"/>
                <w:sz w:val="19"/>
                <w:szCs w:val="19"/>
              </w:rPr>
              <w:t>of 16–</w:t>
            </w:r>
            <w:proofErr w:type="gramStart"/>
            <w:r>
              <w:rPr>
                <w:rFonts w:ascii="Calibri" w:eastAsia="Calibri" w:hAnsi="Calibri" w:cs="Calibri"/>
                <w:color w:val="5B6478"/>
                <w:sz w:val="19"/>
                <w:szCs w:val="19"/>
              </w:rPr>
              <w:t>34 year olds</w:t>
            </w:r>
            <w:proofErr w:type="gramEnd"/>
            <w:r>
              <w:rPr>
                <w:rFonts w:ascii="Calibri" w:eastAsia="Calibri" w:hAnsi="Calibri" w:cs="Calibri"/>
                <w:color w:val="5B6478"/>
                <w:sz w:val="19"/>
                <w:szCs w:val="19"/>
              </w:rPr>
              <w:t xml:space="preserve"> have been strangled/choked at least once during consensual sex (IFAS, 2024/25)</w:t>
            </w:r>
          </w:p>
        </w:tc>
      </w:tr>
      <w:tr w:rsidR="008E1BEE" w14:paraId="68E44A50" w14:textId="77777777">
        <w:tc>
          <w:tcPr>
            <w:tcW w:w="0" w:type="auto"/>
            <w:shd w:val="clear" w:color="auto" w:fill="EAF6F4"/>
            <w:tcMar>
              <w:top w:w="160" w:type="dxa"/>
              <w:left w:w="200" w:type="dxa"/>
              <w:bottom w:w="160" w:type="dxa"/>
              <w:right w:w="200" w:type="dxa"/>
            </w:tcMar>
            <w:vAlign w:val="center"/>
          </w:tcPr>
          <w:p w14:paraId="7E2A7FDB" w14:textId="77777777" w:rsidR="008E1BEE" w:rsidRDefault="0082392A">
            <w:pPr>
              <w:spacing w:after="40"/>
            </w:pPr>
            <w:r>
              <w:rPr>
                <w:rFonts w:ascii="Calibri" w:eastAsia="Calibri" w:hAnsi="Calibri" w:cs="Calibri"/>
                <w:b/>
                <w:bCs/>
                <w:color w:val="E8604C"/>
                <w:sz w:val="30"/>
                <w:szCs w:val="30"/>
              </w:rPr>
              <w:t>12%</w:t>
            </w:r>
          </w:p>
          <w:p w14:paraId="3F77F68F" w14:textId="77777777" w:rsidR="008E1BEE" w:rsidRDefault="0082392A">
            <w:r>
              <w:rPr>
                <w:rFonts w:ascii="Calibri" w:eastAsia="Calibri" w:hAnsi="Calibri" w:cs="Calibri"/>
                <w:color w:val="5B6478"/>
                <w:sz w:val="19"/>
                <w:szCs w:val="19"/>
              </w:rPr>
              <w:t>of all 16–17-year-olds surveyed reported having strangled a partner during sex (IFAS/Warwick, Nov 2025)</w:t>
            </w:r>
          </w:p>
        </w:tc>
        <w:tc>
          <w:tcPr>
            <w:tcW w:w="0" w:type="auto"/>
            <w:shd w:val="clear" w:color="auto" w:fill="EAF6F4"/>
            <w:tcMar>
              <w:top w:w="160" w:type="dxa"/>
              <w:left w:w="200" w:type="dxa"/>
              <w:bottom w:w="160" w:type="dxa"/>
              <w:right w:w="200" w:type="dxa"/>
            </w:tcMar>
            <w:vAlign w:val="center"/>
          </w:tcPr>
          <w:p w14:paraId="783AAB7B" w14:textId="77777777" w:rsidR="008E1BEE" w:rsidRDefault="0082392A">
            <w:pPr>
              <w:spacing w:after="40"/>
            </w:pPr>
            <w:r>
              <w:rPr>
                <w:rFonts w:ascii="Calibri" w:eastAsia="Calibri" w:hAnsi="Calibri" w:cs="Calibri"/>
                <w:b/>
                <w:bCs/>
                <w:color w:val="E8604C"/>
                <w:sz w:val="30"/>
                <w:szCs w:val="30"/>
              </w:rPr>
              <w:t>½</w:t>
            </w:r>
          </w:p>
          <w:p w14:paraId="7DD17E39" w14:textId="77777777" w:rsidR="008E1BEE" w:rsidRDefault="0082392A">
            <w:r>
              <w:rPr>
                <w:rFonts w:ascii="Calibri" w:eastAsia="Calibri" w:hAnsi="Calibri" w:cs="Calibri"/>
                <w:color w:val="5B6478"/>
                <w:sz w:val="19"/>
                <w:szCs w:val="19"/>
              </w:rPr>
              <w:t>of young people (13–25) referred to Refuge in 2024–25 who reported physical violence said they had been strangled or suffocated — up 9 points on the year before</w:t>
            </w:r>
          </w:p>
        </w:tc>
      </w:tr>
      <w:tr w:rsidR="008E1BEE" w14:paraId="6EFDD050" w14:textId="77777777">
        <w:tc>
          <w:tcPr>
            <w:tcW w:w="0" w:type="auto"/>
            <w:shd w:val="clear" w:color="auto" w:fill="EAF6F4"/>
            <w:tcMar>
              <w:top w:w="160" w:type="dxa"/>
              <w:left w:w="200" w:type="dxa"/>
              <w:bottom w:w="160" w:type="dxa"/>
              <w:right w:w="200" w:type="dxa"/>
            </w:tcMar>
            <w:vAlign w:val="center"/>
          </w:tcPr>
          <w:p w14:paraId="1903D7C6" w14:textId="77777777" w:rsidR="008E1BEE" w:rsidRDefault="0082392A">
            <w:pPr>
              <w:spacing w:after="40"/>
            </w:pPr>
            <w:r>
              <w:rPr>
                <w:rFonts w:ascii="Calibri" w:eastAsia="Calibri" w:hAnsi="Calibri" w:cs="Calibri"/>
                <w:b/>
                <w:bCs/>
                <w:color w:val="E8604C"/>
                <w:sz w:val="30"/>
                <w:szCs w:val="30"/>
              </w:rPr>
              <w:t>16%</w:t>
            </w:r>
          </w:p>
          <w:p w14:paraId="4379924F" w14:textId="77777777" w:rsidR="008E1BEE" w:rsidRDefault="0082392A">
            <w:r>
              <w:rPr>
                <w:rFonts w:ascii="Calibri" w:eastAsia="Calibri" w:hAnsi="Calibri" w:cs="Calibri"/>
                <w:color w:val="5B6478"/>
                <w:sz w:val="19"/>
                <w:szCs w:val="19"/>
              </w:rPr>
              <w:t>of all new Refuge referrals in 2024–25 (2,857 of 17,607) were young people</w:t>
            </w:r>
          </w:p>
        </w:tc>
        <w:tc>
          <w:tcPr>
            <w:tcW w:w="0" w:type="auto"/>
            <w:shd w:val="clear" w:color="auto" w:fill="EAF6F4"/>
            <w:tcMar>
              <w:top w:w="160" w:type="dxa"/>
              <w:left w:w="200" w:type="dxa"/>
              <w:bottom w:w="160" w:type="dxa"/>
              <w:right w:w="200" w:type="dxa"/>
            </w:tcMar>
            <w:vAlign w:val="center"/>
          </w:tcPr>
          <w:p w14:paraId="29EEB033" w14:textId="77777777" w:rsidR="008E1BEE" w:rsidRDefault="0082392A">
            <w:pPr>
              <w:spacing w:after="40"/>
            </w:pPr>
            <w:r>
              <w:rPr>
                <w:rFonts w:ascii="Calibri" w:eastAsia="Calibri" w:hAnsi="Calibri" w:cs="Calibri"/>
                <w:b/>
                <w:bCs/>
                <w:color w:val="E8604C"/>
                <w:sz w:val="30"/>
                <w:szCs w:val="30"/>
              </w:rPr>
              <w:t>&lt;50%</w:t>
            </w:r>
          </w:p>
          <w:p w14:paraId="44EA63A7" w14:textId="77777777" w:rsidR="008E1BEE" w:rsidRDefault="0082392A">
            <w:r>
              <w:rPr>
                <w:rFonts w:ascii="Calibri" w:eastAsia="Calibri" w:hAnsi="Calibri" w:cs="Calibri"/>
                <w:color w:val="5B6478"/>
                <w:sz w:val="19"/>
                <w:szCs w:val="19"/>
              </w:rPr>
              <w:t>of strangulation victims show any visible external injury — the absence of marks does not mean the absence of harm</w:t>
            </w:r>
          </w:p>
        </w:tc>
      </w:tr>
    </w:tbl>
    <w:p w14:paraId="1A2D7451" w14:textId="77777777" w:rsidR="008E1BEE" w:rsidRDefault="0082392A">
      <w:pPr>
        <w:pBdr>
          <w:bottom w:val="single" w:sz="6" w:space="6" w:color="0E6E67"/>
        </w:pBdr>
        <w:spacing w:before="320" w:after="120"/>
      </w:pPr>
      <w:r>
        <w:rPr>
          <w:rFonts w:ascii="Cambria" w:eastAsia="Cambria" w:hAnsi="Cambria" w:cs="Cambria"/>
          <w:b/>
          <w:bCs/>
          <w:color w:val="0E6E67"/>
          <w:sz w:val="27"/>
          <w:szCs w:val="27"/>
        </w:rPr>
        <w:t>Sources</w:t>
      </w:r>
    </w:p>
    <w:p w14:paraId="5CD40697" w14:textId="77777777" w:rsidR="008E1BEE" w:rsidRDefault="0082392A">
      <w:pPr>
        <w:spacing w:after="70"/>
      </w:pPr>
      <w:r>
        <w:rPr>
          <w:rFonts w:ascii="Calibri" w:eastAsia="Calibri" w:hAnsi="Calibri" w:cs="Calibri"/>
          <w:color w:val="5B6478"/>
          <w:sz w:val="18"/>
          <w:szCs w:val="18"/>
        </w:rPr>
        <w:t>Institute for Addressing Strangulation (IFAS) &amp; Bangor University — Strangulation During Sex in the UK, 2024/2025 surveys</w:t>
      </w:r>
    </w:p>
    <w:p w14:paraId="4D0DAD6A" w14:textId="77777777" w:rsidR="008E1BEE" w:rsidRDefault="0082392A">
      <w:pPr>
        <w:spacing w:after="70"/>
      </w:pPr>
      <w:r>
        <w:rPr>
          <w:rFonts w:ascii="Calibri" w:eastAsia="Calibri" w:hAnsi="Calibri" w:cs="Calibri"/>
          <w:color w:val="5B6478"/>
          <w:sz w:val="18"/>
          <w:szCs w:val="18"/>
        </w:rPr>
        <w:t>IFAS &amp; University of Warwick — Strangulation During Sex in the UK, full report, November 2025</w:t>
      </w:r>
    </w:p>
    <w:p w14:paraId="20C29E31" w14:textId="77777777" w:rsidR="008E1BEE" w:rsidRDefault="0082392A">
      <w:pPr>
        <w:spacing w:after="70"/>
      </w:pPr>
      <w:r>
        <w:rPr>
          <w:rFonts w:ascii="Calibri" w:eastAsia="Calibri" w:hAnsi="Calibri" w:cs="Calibri"/>
          <w:color w:val="5B6478"/>
          <w:sz w:val="18"/>
          <w:szCs w:val="18"/>
        </w:rPr>
        <w:t>Refuge — "Refuge reports rise in violent threats and strangulation among young people", 2025</w:t>
      </w:r>
    </w:p>
    <w:p w14:paraId="653B79BE" w14:textId="77777777" w:rsidR="008E1BEE" w:rsidRDefault="0082392A">
      <w:pPr>
        <w:spacing w:after="70"/>
      </w:pPr>
      <w:r>
        <w:rPr>
          <w:rFonts w:ascii="Calibri" w:eastAsia="Calibri" w:hAnsi="Calibri" w:cs="Calibri"/>
          <w:color w:val="5B6478"/>
          <w:sz w:val="18"/>
          <w:szCs w:val="18"/>
        </w:rPr>
        <w:t>SafeLives — Safe Young Lives: Young People and Domestic Abuse (Spotlight report)</w:t>
      </w:r>
    </w:p>
    <w:p w14:paraId="35BA53DA" w14:textId="77777777" w:rsidR="008E1BEE" w:rsidRDefault="0082392A">
      <w:pPr>
        <w:spacing w:after="70"/>
      </w:pPr>
      <w:r>
        <w:rPr>
          <w:rFonts w:ascii="Calibri" w:eastAsia="Calibri" w:hAnsi="Calibri" w:cs="Calibri"/>
          <w:color w:val="5B6478"/>
          <w:sz w:val="18"/>
          <w:szCs w:val="18"/>
        </w:rPr>
        <w:t>Youth Endowment Fund — Teenage Relationship Abuse findings</w:t>
      </w:r>
    </w:p>
    <w:p w14:paraId="482FA644" w14:textId="77777777" w:rsidR="008E1BEE" w:rsidRDefault="0082392A">
      <w:pPr>
        <w:spacing w:after="70"/>
      </w:pPr>
      <w:r>
        <w:rPr>
          <w:rFonts w:ascii="Calibri" w:eastAsia="Calibri" w:hAnsi="Calibri" w:cs="Calibri"/>
          <w:color w:val="5B6478"/>
          <w:sz w:val="18"/>
          <w:szCs w:val="18"/>
        </w:rPr>
        <w:t>Domestic Abuse Act 2021, Section 70 (Strangulation or Suffocation); Crown Prosecution Service legal guidance, June 2022</w:t>
      </w:r>
    </w:p>
    <w:sectPr w:rsidR="008E1BEE">
      <w:pgSz w:w="11906" w:h="16838"/>
      <w:pgMar w:top="900" w:right="1000" w:bottom="900" w:left="10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77BB2"/>
    <w:multiLevelType w:val="hybridMultilevel"/>
    <w:tmpl w:val="642ED07A"/>
    <w:lvl w:ilvl="0" w:tplc="712C38FA">
      <w:start w:val="1"/>
      <w:numFmt w:val="bullet"/>
      <w:lvlText w:val="●"/>
      <w:lvlJc w:val="left"/>
      <w:pPr>
        <w:ind w:left="720" w:hanging="360"/>
      </w:pPr>
    </w:lvl>
    <w:lvl w:ilvl="1" w:tplc="551466C2">
      <w:start w:val="1"/>
      <w:numFmt w:val="bullet"/>
      <w:lvlText w:val="○"/>
      <w:lvlJc w:val="left"/>
      <w:pPr>
        <w:ind w:left="1440" w:hanging="360"/>
      </w:pPr>
    </w:lvl>
    <w:lvl w:ilvl="2" w:tplc="A0CA0AD8">
      <w:start w:val="1"/>
      <w:numFmt w:val="bullet"/>
      <w:lvlText w:val="■"/>
      <w:lvlJc w:val="left"/>
      <w:pPr>
        <w:ind w:left="2160" w:hanging="360"/>
      </w:pPr>
    </w:lvl>
    <w:lvl w:ilvl="3" w:tplc="5D2CEFDA">
      <w:start w:val="1"/>
      <w:numFmt w:val="bullet"/>
      <w:lvlText w:val="●"/>
      <w:lvlJc w:val="left"/>
      <w:pPr>
        <w:ind w:left="2880" w:hanging="360"/>
      </w:pPr>
    </w:lvl>
    <w:lvl w:ilvl="4" w:tplc="42123BFE">
      <w:start w:val="1"/>
      <w:numFmt w:val="bullet"/>
      <w:lvlText w:val="○"/>
      <w:lvlJc w:val="left"/>
      <w:pPr>
        <w:ind w:left="3600" w:hanging="360"/>
      </w:pPr>
    </w:lvl>
    <w:lvl w:ilvl="5" w:tplc="091A8882">
      <w:start w:val="1"/>
      <w:numFmt w:val="bullet"/>
      <w:lvlText w:val="■"/>
      <w:lvlJc w:val="left"/>
      <w:pPr>
        <w:ind w:left="4320" w:hanging="360"/>
      </w:pPr>
    </w:lvl>
    <w:lvl w:ilvl="6" w:tplc="5A500688">
      <w:start w:val="1"/>
      <w:numFmt w:val="bullet"/>
      <w:lvlText w:val="●"/>
      <w:lvlJc w:val="left"/>
      <w:pPr>
        <w:ind w:left="5040" w:hanging="360"/>
      </w:pPr>
    </w:lvl>
    <w:lvl w:ilvl="7" w:tplc="E4D0B6BE">
      <w:start w:val="1"/>
      <w:numFmt w:val="bullet"/>
      <w:lvlText w:val="●"/>
      <w:lvlJc w:val="left"/>
      <w:pPr>
        <w:ind w:left="5760" w:hanging="360"/>
      </w:pPr>
    </w:lvl>
    <w:lvl w:ilvl="8" w:tplc="084486A0">
      <w:start w:val="1"/>
      <w:numFmt w:val="bullet"/>
      <w:lvlText w:val="●"/>
      <w:lvlJc w:val="left"/>
      <w:pPr>
        <w:ind w:left="6480" w:hanging="360"/>
      </w:pPr>
    </w:lvl>
  </w:abstractNum>
  <w:num w:numId="1" w16cid:durableId="198168846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1BEE"/>
    <w:rsid w:val="006D6D42"/>
    <w:rsid w:val="0082392A"/>
    <w:rsid w:val="008E1BEE"/>
    <w:rsid w:val="00AE27BB"/>
    <w:rsid w:val="00FB48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1593A"/>
  <w15:docId w15:val="{70412B69-4E98-4810-986B-27CDA45D4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807</Words>
  <Characters>4604</Characters>
  <Application>Microsoft Office Word</Application>
  <DocSecurity>0</DocSecurity>
  <Lines>38</Lines>
  <Paragraphs>10</Paragraphs>
  <ScaleCrop>false</ScaleCrop>
  <Company/>
  <LinksUpToDate>false</LinksUpToDate>
  <CharactersWithSpaces>5401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Musarat Rashid</cp:lastModifiedBy>
  <cp:revision>2</cp:revision>
  <cp:lastPrinted>2026-09-09T08:28:00Z</cp:lastPrinted>
  <dcterms:created xsi:type="dcterms:W3CDTF">2026-09-09T12:59:00Z</dcterms:created>
  <dcterms:modified xsi:type="dcterms:W3CDTF">2026-09-09T12:59:00Z</dcterms:modified>
</cp:coreProperties>
</file>