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AAAFC" w14:textId="77777777" w:rsidR="00DF3C9F" w:rsidRDefault="00DF3C9F" w:rsidP="00DF3C9F">
      <w:pPr>
        <w:pStyle w:val="Heading2"/>
        <w:spacing w:before="160"/>
        <w:divId w:val="1500655635"/>
        <w:rPr>
          <w:rFonts w:cstheme="minorBidi"/>
        </w:rPr>
      </w:pPr>
    </w:p>
    <w:p w14:paraId="140A44BD" w14:textId="77777777" w:rsidR="00BF1484" w:rsidRPr="00BF1484" w:rsidRDefault="00BF1484" w:rsidP="00BF1484">
      <w:pPr>
        <w:divId w:val="1500655635"/>
      </w:pPr>
    </w:p>
    <w:p w14:paraId="12D6CBBF" w14:textId="429ADA2A" w:rsidR="00E024C0" w:rsidRPr="00BF1484" w:rsidRDefault="000C06AF" w:rsidP="00DF3C9F">
      <w:pPr>
        <w:pStyle w:val="Heading2"/>
        <w:spacing w:before="160"/>
        <w:divId w:val="1500655635"/>
        <w:rPr>
          <w:rFonts w:ascii="Arial" w:hAnsi="Arial" w:cs="Arial"/>
          <w:sz w:val="36"/>
          <w:szCs w:val="36"/>
        </w:rPr>
      </w:pPr>
      <w:r w:rsidRPr="00BF1484">
        <w:rPr>
          <w:rFonts w:ascii="Arial" w:hAnsi="Arial" w:cs="Arial"/>
          <w:sz w:val="36"/>
          <w:szCs w:val="36"/>
        </w:rPr>
        <w:t xml:space="preserve">Guidance for </w:t>
      </w:r>
      <w:r w:rsidR="00E10ECC">
        <w:rPr>
          <w:rFonts w:ascii="Arial" w:hAnsi="Arial" w:cs="Arial"/>
          <w:sz w:val="36"/>
          <w:szCs w:val="36"/>
        </w:rPr>
        <w:t xml:space="preserve">GP practices when </w:t>
      </w:r>
      <w:r w:rsidRPr="00BF1484">
        <w:rPr>
          <w:rFonts w:ascii="Arial" w:hAnsi="Arial" w:cs="Arial"/>
          <w:sz w:val="36"/>
          <w:szCs w:val="36"/>
        </w:rPr>
        <w:t xml:space="preserve">procuring </w:t>
      </w:r>
      <w:r w:rsidR="00DF3C9F" w:rsidRPr="00BF1484">
        <w:rPr>
          <w:rFonts w:ascii="Arial" w:hAnsi="Arial" w:cs="Arial"/>
          <w:sz w:val="36"/>
          <w:szCs w:val="36"/>
        </w:rPr>
        <w:t>or changing</w:t>
      </w:r>
      <w:r w:rsidRPr="00BF1484">
        <w:rPr>
          <w:rFonts w:ascii="Arial" w:hAnsi="Arial" w:cs="Arial"/>
          <w:sz w:val="36"/>
          <w:szCs w:val="36"/>
        </w:rPr>
        <w:t xml:space="preserve"> telephony </w:t>
      </w:r>
      <w:r w:rsidR="00DF3C9F" w:rsidRPr="00BF1484">
        <w:rPr>
          <w:rFonts w:ascii="Arial" w:hAnsi="Arial" w:cs="Arial"/>
          <w:sz w:val="36"/>
          <w:szCs w:val="36"/>
        </w:rPr>
        <w:t>providers</w:t>
      </w:r>
    </w:p>
    <w:p w14:paraId="37F5C531" w14:textId="77777777" w:rsidR="00DF3C9F" w:rsidRPr="00BF1484" w:rsidRDefault="00DF3C9F" w:rsidP="00DF3C9F">
      <w:pPr>
        <w:divId w:val="1500655635"/>
        <w:rPr>
          <w:rFonts w:ascii="Arial" w:hAnsi="Arial" w:cs="Arial"/>
        </w:rPr>
      </w:pPr>
    </w:p>
    <w:p w14:paraId="42CD42F4" w14:textId="77777777" w:rsidR="00E024C0" w:rsidRPr="00BF1484" w:rsidRDefault="000C06AF" w:rsidP="00F640E8">
      <w:pPr>
        <w:divId w:val="1500655635"/>
        <w:rPr>
          <w:rFonts w:ascii="Arial" w:hAnsi="Arial" w:cs="Arial"/>
          <w:sz w:val="24"/>
        </w:rPr>
      </w:pPr>
      <w:r w:rsidRPr="00BF1484">
        <w:rPr>
          <w:rFonts w:ascii="Arial" w:hAnsi="Arial" w:cs="Arial"/>
          <w:b/>
          <w:sz w:val="24"/>
        </w:rPr>
        <w:t>Purpose:</w:t>
      </w:r>
      <w:r w:rsidRPr="00BF1484">
        <w:rPr>
          <w:rFonts w:ascii="Arial" w:hAnsi="Arial" w:cs="Arial"/>
          <w:sz w:val="24"/>
        </w:rPr>
        <w:t xml:space="preserve"> This guidance helps GP practices identify the technical, assurance and network requirements they should confirm before procuring or changing telephony providers.</w:t>
      </w:r>
    </w:p>
    <w:p w14:paraId="0F8B1083" w14:textId="77777777" w:rsidR="00DF3C9F" w:rsidRPr="00BF1484" w:rsidRDefault="00DF3C9F" w:rsidP="00F640E8">
      <w:pPr>
        <w:divId w:val="1500655635"/>
        <w:rPr>
          <w:rFonts w:ascii="Arial" w:hAnsi="Arial" w:cs="Arial"/>
          <w:sz w:val="24"/>
        </w:rPr>
      </w:pPr>
    </w:p>
    <w:p w14:paraId="0850AA1E" w14:textId="77777777" w:rsidR="00E024C0" w:rsidRPr="00BF1484" w:rsidRDefault="000C06AF" w:rsidP="004A4696">
      <w:pPr>
        <w:pStyle w:val="Heading3"/>
        <w:spacing w:before="160" w:after="80"/>
        <w:divId w:val="1500655635"/>
        <w:rPr>
          <w:rFonts w:ascii="Arial" w:hAnsi="Arial" w:cs="Arial"/>
        </w:rPr>
      </w:pPr>
      <w:r w:rsidRPr="00BF1484">
        <w:rPr>
          <w:rFonts w:ascii="Arial" w:hAnsi="Arial" w:cs="Arial"/>
        </w:rPr>
        <w:t>Supplier assurance</w:t>
      </w:r>
    </w:p>
    <w:p w14:paraId="63E7A12D" w14:textId="77777777" w:rsidR="00E024C0" w:rsidRPr="00BF1484" w:rsidRDefault="000C06AF" w:rsidP="00C535E8">
      <w:pPr>
        <w:pStyle w:val="ListParagraph"/>
        <w:numPr>
          <w:ilvl w:val="0"/>
          <w:numId w:val="2"/>
        </w:numPr>
        <w:spacing w:after="160" w:line="278" w:lineRule="auto"/>
        <w:divId w:val="1500655635"/>
        <w:rPr>
          <w:rFonts w:ascii="Arial" w:hAnsi="Arial" w:cs="Arial"/>
          <w:sz w:val="24"/>
        </w:rPr>
      </w:pPr>
      <w:r w:rsidRPr="00BF1484">
        <w:rPr>
          <w:rFonts w:ascii="Arial" w:hAnsi="Arial" w:cs="Arial"/>
          <w:sz w:val="24"/>
        </w:rPr>
        <w:t xml:space="preserve">The provider must hold appropriate assurance, </w:t>
      </w:r>
      <w:r w:rsidR="00C535E8" w:rsidRPr="00BF1484">
        <w:rPr>
          <w:rFonts w:ascii="Arial" w:hAnsi="Arial" w:cs="Arial"/>
          <w:sz w:val="24"/>
        </w:rPr>
        <w:t>such as</w:t>
      </w:r>
      <w:r w:rsidRPr="00BF1484">
        <w:rPr>
          <w:rFonts w:ascii="Arial" w:hAnsi="Arial" w:cs="Arial"/>
          <w:sz w:val="24"/>
        </w:rPr>
        <w:t xml:space="preserve"> ISO 27001 or Cyber Essentials Plus accreditation.</w:t>
      </w:r>
    </w:p>
    <w:p w14:paraId="688C07C5" w14:textId="77777777" w:rsidR="004A4696" w:rsidRPr="00BF1484" w:rsidRDefault="004A4696" w:rsidP="004A4696">
      <w:pPr>
        <w:pStyle w:val="ListParagraph"/>
        <w:numPr>
          <w:ilvl w:val="0"/>
          <w:numId w:val="2"/>
        </w:numPr>
        <w:spacing w:after="160" w:line="278" w:lineRule="auto"/>
        <w:divId w:val="1500655635"/>
        <w:rPr>
          <w:rFonts w:ascii="Arial" w:hAnsi="Arial" w:cs="Arial"/>
          <w:sz w:val="24"/>
        </w:rPr>
      </w:pPr>
      <w:r w:rsidRPr="00BF1484">
        <w:rPr>
          <w:rFonts w:ascii="Arial" w:hAnsi="Arial" w:cs="Arial"/>
          <w:sz w:val="24"/>
        </w:rPr>
        <w:t>Any supplier service or vendor requiring access from ICB-supported computers will be subject to Technical Assessment Group (TAG) review.</w:t>
      </w:r>
    </w:p>
    <w:p w14:paraId="5AA09E84" w14:textId="77777777" w:rsidR="00DF3C9F" w:rsidRPr="00BF1484" w:rsidRDefault="00DF3C9F" w:rsidP="00DF3C9F">
      <w:pPr>
        <w:pStyle w:val="ListParagraph"/>
        <w:spacing w:after="160" w:line="278" w:lineRule="auto"/>
        <w:divId w:val="1500655635"/>
        <w:rPr>
          <w:rFonts w:ascii="Arial" w:hAnsi="Arial" w:cs="Arial"/>
          <w:sz w:val="24"/>
        </w:rPr>
      </w:pPr>
    </w:p>
    <w:p w14:paraId="3806976E" w14:textId="77777777" w:rsidR="00E024C0" w:rsidRPr="00BF1484" w:rsidRDefault="000C06AF" w:rsidP="006835EE">
      <w:pPr>
        <w:pStyle w:val="Heading3"/>
        <w:spacing w:before="160" w:after="80"/>
        <w:divId w:val="1500655635"/>
        <w:rPr>
          <w:rFonts w:ascii="Arial" w:hAnsi="Arial" w:cs="Arial"/>
        </w:rPr>
      </w:pPr>
      <w:r w:rsidRPr="00BF1484">
        <w:rPr>
          <w:rFonts w:ascii="Arial" w:hAnsi="Arial" w:cs="Arial"/>
        </w:rPr>
        <w:t>Network requirements</w:t>
      </w:r>
    </w:p>
    <w:p w14:paraId="32CACFF8" w14:textId="77777777" w:rsidR="006835EE" w:rsidRPr="00BF1484" w:rsidRDefault="006835EE" w:rsidP="006835EE">
      <w:pPr>
        <w:pStyle w:val="ListParagraph"/>
        <w:numPr>
          <w:ilvl w:val="0"/>
          <w:numId w:val="3"/>
        </w:numPr>
        <w:spacing w:after="160" w:line="278" w:lineRule="auto"/>
        <w:divId w:val="1500655635"/>
        <w:rPr>
          <w:rFonts w:ascii="Arial" w:hAnsi="Arial" w:cs="Arial"/>
          <w:sz w:val="24"/>
          <w:lang w:eastAsia="en-GB"/>
        </w:rPr>
      </w:pPr>
      <w:r w:rsidRPr="00BF1484">
        <w:rPr>
          <w:rFonts w:ascii="Arial" w:hAnsi="Arial" w:cs="Arial"/>
          <w:sz w:val="24"/>
        </w:rPr>
        <w:t>The provider must supply and support a separate dedicated internet connection for physical handsets, including any required firewall and access switches.</w:t>
      </w:r>
    </w:p>
    <w:p w14:paraId="29993ECD" w14:textId="77777777" w:rsidR="006835EE" w:rsidRPr="00BF1484" w:rsidRDefault="006835EE" w:rsidP="006835EE">
      <w:pPr>
        <w:pStyle w:val="ListParagraph"/>
        <w:numPr>
          <w:ilvl w:val="0"/>
          <w:numId w:val="3"/>
        </w:numPr>
        <w:spacing w:after="160" w:line="278" w:lineRule="auto"/>
        <w:divId w:val="1500655635"/>
        <w:rPr>
          <w:rFonts w:ascii="Arial" w:hAnsi="Arial" w:cs="Arial"/>
          <w:sz w:val="24"/>
        </w:rPr>
      </w:pPr>
      <w:r w:rsidRPr="00BF1484">
        <w:rPr>
          <w:rFonts w:ascii="Arial" w:hAnsi="Arial" w:cs="Arial"/>
          <w:sz w:val="24"/>
        </w:rPr>
        <w:t>Dedicated wall ports must be provided for physical handsets. Port splitters using existing network ports are not acceptable.</w:t>
      </w:r>
    </w:p>
    <w:p w14:paraId="6DD01B5B" w14:textId="77777777" w:rsidR="00DF3C9F" w:rsidRPr="00BF1484" w:rsidRDefault="00DF3C9F" w:rsidP="00DF3C9F">
      <w:pPr>
        <w:pStyle w:val="ListParagraph"/>
        <w:spacing w:after="160" w:line="278" w:lineRule="auto"/>
        <w:divId w:val="1500655635"/>
        <w:rPr>
          <w:rFonts w:ascii="Arial" w:hAnsi="Arial" w:cs="Arial"/>
          <w:sz w:val="24"/>
        </w:rPr>
      </w:pPr>
    </w:p>
    <w:p w14:paraId="6183D796" w14:textId="77777777" w:rsidR="00E024C0" w:rsidRPr="00BF1484" w:rsidRDefault="000C06AF" w:rsidP="00180C37">
      <w:pPr>
        <w:pStyle w:val="Heading3"/>
        <w:spacing w:before="160" w:after="80"/>
        <w:rPr>
          <w:rFonts w:ascii="Arial" w:hAnsi="Arial" w:cs="Arial"/>
        </w:rPr>
      </w:pPr>
      <w:r w:rsidRPr="00BF1484">
        <w:rPr>
          <w:rFonts w:ascii="Arial" w:hAnsi="Arial" w:cs="Arial"/>
        </w:rPr>
        <w:t>Device access rules</w:t>
      </w:r>
    </w:p>
    <w:p w14:paraId="47E4CF80" w14:textId="77777777" w:rsidR="00180C37" w:rsidRPr="00BF1484" w:rsidRDefault="00180C37" w:rsidP="00180C37">
      <w:pPr>
        <w:pStyle w:val="ListParagraph"/>
        <w:numPr>
          <w:ilvl w:val="0"/>
          <w:numId w:val="4"/>
        </w:numPr>
        <w:spacing w:after="160" w:line="278" w:lineRule="auto"/>
        <w:rPr>
          <w:rFonts w:ascii="Arial" w:hAnsi="Arial" w:cs="Arial"/>
          <w:sz w:val="24"/>
          <w:lang w:eastAsia="en-GB"/>
        </w:rPr>
      </w:pPr>
      <w:r w:rsidRPr="00BF1484">
        <w:rPr>
          <w:rFonts w:ascii="Arial" w:hAnsi="Arial" w:cs="Arial"/>
          <w:sz w:val="24"/>
        </w:rPr>
        <w:t>Physical handsets must not connect to the ICB-provided network. The ICB will deploy controls to deny access for unauthorised devices.</w:t>
      </w:r>
    </w:p>
    <w:p w14:paraId="3A7F18C3" w14:textId="77777777" w:rsidR="00E024C0" w:rsidRPr="00BF1484" w:rsidRDefault="000C06AF" w:rsidP="006A76DA">
      <w:pPr>
        <w:pStyle w:val="ListParagraph"/>
        <w:numPr>
          <w:ilvl w:val="0"/>
          <w:numId w:val="4"/>
        </w:numPr>
        <w:spacing w:after="160" w:line="278" w:lineRule="auto"/>
        <w:rPr>
          <w:rFonts w:ascii="Arial" w:hAnsi="Arial" w:cs="Arial"/>
          <w:sz w:val="24"/>
          <w:lang w:eastAsia="en-GB"/>
        </w:rPr>
      </w:pPr>
      <w:r w:rsidRPr="00BF1484">
        <w:rPr>
          <w:rFonts w:ascii="Arial" w:hAnsi="Arial" w:cs="Arial"/>
          <w:sz w:val="24"/>
        </w:rPr>
        <w:t xml:space="preserve">Softphones installed on ICB-supported computers may be </w:t>
      </w:r>
      <w:r w:rsidR="006A76DA" w:rsidRPr="00BF1484">
        <w:rPr>
          <w:rFonts w:ascii="Arial" w:hAnsi="Arial" w:cs="Arial"/>
          <w:sz w:val="24"/>
        </w:rPr>
        <w:t>granted</w:t>
      </w:r>
      <w:r w:rsidRPr="00BF1484">
        <w:rPr>
          <w:rFonts w:ascii="Arial" w:hAnsi="Arial" w:cs="Arial"/>
          <w:sz w:val="24"/>
        </w:rPr>
        <w:t xml:space="preserve"> internet access to the supplier service, subject to TAG review.</w:t>
      </w:r>
    </w:p>
    <w:p w14:paraId="64569F31" w14:textId="77777777" w:rsidR="00DF3C9F" w:rsidRPr="00BF1484" w:rsidRDefault="00DF3C9F" w:rsidP="00DF3C9F">
      <w:pPr>
        <w:pStyle w:val="ListParagraph"/>
        <w:spacing w:after="160" w:line="278" w:lineRule="auto"/>
        <w:rPr>
          <w:rFonts w:ascii="Arial" w:hAnsi="Arial" w:cs="Arial"/>
          <w:sz w:val="24"/>
          <w:lang w:eastAsia="en-GB"/>
        </w:rPr>
      </w:pPr>
    </w:p>
    <w:p w14:paraId="4977991A" w14:textId="77777777" w:rsidR="00E024C0" w:rsidRPr="00BF1484" w:rsidRDefault="000C06AF" w:rsidP="00B6041F">
      <w:pPr>
        <w:pStyle w:val="Heading3"/>
        <w:spacing w:before="160" w:after="80"/>
        <w:rPr>
          <w:rFonts w:ascii="Arial" w:hAnsi="Arial" w:cs="Arial"/>
        </w:rPr>
      </w:pPr>
      <w:r w:rsidRPr="00BF1484">
        <w:rPr>
          <w:rFonts w:ascii="Arial" w:hAnsi="Arial" w:cs="Arial"/>
        </w:rPr>
        <w:t>Important note on costs and network assumptions</w:t>
      </w:r>
    </w:p>
    <w:p w14:paraId="56908D1C" w14:textId="77777777" w:rsidR="00E024C0" w:rsidRPr="00BF1484" w:rsidRDefault="000C06AF" w:rsidP="00396DC5">
      <w:pPr>
        <w:rPr>
          <w:rFonts w:ascii="Arial" w:hAnsi="Arial" w:cs="Arial"/>
          <w:sz w:val="24"/>
        </w:rPr>
      </w:pPr>
      <w:r w:rsidRPr="00BF1484">
        <w:rPr>
          <w:rFonts w:ascii="Arial" w:hAnsi="Arial" w:cs="Arial"/>
          <w:sz w:val="24"/>
        </w:rPr>
        <w:t xml:space="preserve">Practices should not select a provider solely on </w:t>
      </w:r>
      <w:r w:rsidR="00A423C2" w:rsidRPr="00BF1484">
        <w:rPr>
          <w:rFonts w:ascii="Arial" w:hAnsi="Arial" w:cs="Arial"/>
          <w:sz w:val="24"/>
        </w:rPr>
        <w:t xml:space="preserve">the basis of </w:t>
      </w:r>
      <w:r w:rsidRPr="00BF1484">
        <w:rPr>
          <w:rFonts w:ascii="Arial" w:hAnsi="Arial" w:cs="Arial"/>
          <w:sz w:val="24"/>
        </w:rPr>
        <w:t>headline cost. Some providers may assume they can use the ICB IT network, which is not permitted. Costs may increase significantly if dedicated services are later required to support the telephony solution.</w:t>
      </w:r>
    </w:p>
    <w:p w14:paraId="51517945" w14:textId="77777777" w:rsidR="00DF3C9F" w:rsidRPr="00BF1484" w:rsidRDefault="00DF3C9F" w:rsidP="00396DC5">
      <w:pPr>
        <w:rPr>
          <w:rFonts w:ascii="Arial" w:hAnsi="Arial" w:cs="Arial"/>
          <w:sz w:val="24"/>
        </w:rPr>
      </w:pPr>
    </w:p>
    <w:p w14:paraId="60C552BC" w14:textId="77777777" w:rsidR="00E024C0" w:rsidRPr="00BF1484" w:rsidRDefault="000C06AF" w:rsidP="001B1EF0">
      <w:pPr>
        <w:pStyle w:val="Heading3"/>
        <w:spacing w:before="160" w:after="80"/>
        <w:rPr>
          <w:rFonts w:ascii="Arial" w:hAnsi="Arial" w:cs="Arial"/>
        </w:rPr>
      </w:pPr>
      <w:r w:rsidRPr="00BF1484">
        <w:rPr>
          <w:rFonts w:ascii="Arial" w:hAnsi="Arial" w:cs="Arial"/>
        </w:rPr>
        <w:t>Further advice</w:t>
      </w:r>
    </w:p>
    <w:p w14:paraId="66204A15" w14:textId="77777777" w:rsidR="00E024C0" w:rsidRPr="00BF1484" w:rsidRDefault="000C06AF" w:rsidP="006C6B70">
      <w:pPr>
        <w:rPr>
          <w:rFonts w:ascii="Arial" w:hAnsi="Arial" w:cs="Arial"/>
          <w:sz w:val="24"/>
        </w:rPr>
      </w:pPr>
      <w:r w:rsidRPr="00BF1484">
        <w:rPr>
          <w:rFonts w:ascii="Arial" w:hAnsi="Arial" w:cs="Arial"/>
          <w:sz w:val="24"/>
        </w:rPr>
        <w:t>Practices should contact their local GP IT service desk before progressing procurement or supplier engagement if they need advice on these requirements.</w:t>
      </w:r>
    </w:p>
    <w:sectPr w:rsidR="00E024C0" w:rsidRPr="00BF148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03811" w14:textId="77777777" w:rsidR="000C06AF" w:rsidRDefault="000C06AF" w:rsidP="007B6F25">
      <w:pPr>
        <w:spacing w:after="0" w:line="240" w:lineRule="auto"/>
      </w:pPr>
      <w:r>
        <w:separator/>
      </w:r>
    </w:p>
  </w:endnote>
  <w:endnote w:type="continuationSeparator" w:id="0">
    <w:p w14:paraId="7F4A764B" w14:textId="77777777" w:rsidR="000C06AF" w:rsidRDefault="000C06AF" w:rsidP="007B6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4101" w14:textId="77777777" w:rsidR="007B6F25" w:rsidRDefault="007B6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AEE0" w14:textId="77777777" w:rsidR="007B6F25" w:rsidRDefault="007B6F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DCE2" w14:textId="77777777" w:rsidR="007B6F25" w:rsidRDefault="007B6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4C07" w14:textId="77777777" w:rsidR="000C06AF" w:rsidRDefault="000C06AF" w:rsidP="007B6F25">
      <w:pPr>
        <w:spacing w:after="0" w:line="240" w:lineRule="auto"/>
      </w:pPr>
      <w:r>
        <w:separator/>
      </w:r>
    </w:p>
  </w:footnote>
  <w:footnote w:type="continuationSeparator" w:id="0">
    <w:p w14:paraId="6997A245" w14:textId="77777777" w:rsidR="000C06AF" w:rsidRDefault="000C06AF" w:rsidP="007B6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6CEE" w14:textId="77777777" w:rsidR="007B6F25" w:rsidRDefault="007B6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6798" w14:textId="57F794B5" w:rsidR="007B6F25" w:rsidRDefault="007B6F25">
    <w:pPr>
      <w:pStyle w:val="Header"/>
    </w:pPr>
    <w:r w:rsidRPr="008D67C2">
      <w:rPr>
        <w:rFonts w:ascii="Arial" w:eastAsia="Calibri" w:hAnsi="Arial" w:cs="Arial"/>
        <w:noProof/>
        <w:kern w:val="0"/>
        <w:szCs w:val="22"/>
        <w14:ligatures w14:val="none"/>
      </w:rPr>
      <w:drawing>
        <wp:anchor distT="0" distB="0" distL="114300" distR="114300" simplePos="0" relativeHeight="251659264" behindDoc="0" locked="0" layoutInCell="1" allowOverlap="1" wp14:anchorId="5010C54F" wp14:editId="53AE0AB3">
          <wp:simplePos x="0" y="0"/>
          <wp:positionH relativeFrom="column">
            <wp:posOffset>3571875</wp:posOffset>
          </wp:positionH>
          <wp:positionV relativeFrom="page">
            <wp:posOffset>106045</wp:posOffset>
          </wp:positionV>
          <wp:extent cx="2966085" cy="1143000"/>
          <wp:effectExtent l="0" t="0" r="5715" b="0"/>
          <wp:wrapSquare wrapText="bothSides"/>
          <wp:docPr id="918360789" name="Picture 91836078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0304" name="Picture 48290304"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66085" cy="1143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5F04" w14:textId="77777777" w:rsidR="007B6F25" w:rsidRDefault="007B6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096F"/>
    <w:multiLevelType w:val="multilevel"/>
    <w:tmpl w:val="0E7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03DEA"/>
    <w:multiLevelType w:val="multilevel"/>
    <w:tmpl w:val="0D58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C3648"/>
    <w:multiLevelType w:val="multilevel"/>
    <w:tmpl w:val="4708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41E9C"/>
    <w:multiLevelType w:val="multilevel"/>
    <w:tmpl w:val="0A1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F68BD"/>
    <w:multiLevelType w:val="multilevel"/>
    <w:tmpl w:val="D3D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62ECD"/>
    <w:multiLevelType w:val="multilevel"/>
    <w:tmpl w:val="550E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51C3D"/>
    <w:multiLevelType w:val="multilevel"/>
    <w:tmpl w:val="025A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52DF7"/>
    <w:multiLevelType w:val="multilevel"/>
    <w:tmpl w:val="359C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41585"/>
    <w:multiLevelType w:val="multilevel"/>
    <w:tmpl w:val="7E6A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371BF"/>
    <w:multiLevelType w:val="multilevel"/>
    <w:tmpl w:val="0B5E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F1D91"/>
    <w:multiLevelType w:val="multilevel"/>
    <w:tmpl w:val="FD7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555C5E"/>
    <w:multiLevelType w:val="multilevel"/>
    <w:tmpl w:val="BB54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563747"/>
    <w:multiLevelType w:val="multilevel"/>
    <w:tmpl w:val="95DA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52E34"/>
    <w:multiLevelType w:val="multilevel"/>
    <w:tmpl w:val="5D94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60D6F"/>
    <w:multiLevelType w:val="multilevel"/>
    <w:tmpl w:val="375C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083433"/>
    <w:multiLevelType w:val="hybridMultilevel"/>
    <w:tmpl w:val="1BD870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6962528"/>
    <w:multiLevelType w:val="multilevel"/>
    <w:tmpl w:val="74D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062FCC"/>
    <w:multiLevelType w:val="multilevel"/>
    <w:tmpl w:val="A850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80950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741857">
    <w:abstractNumId w:val="14"/>
  </w:num>
  <w:num w:numId="3" w16cid:durableId="1150754802">
    <w:abstractNumId w:val="3"/>
  </w:num>
  <w:num w:numId="4" w16cid:durableId="287396122">
    <w:abstractNumId w:val="12"/>
  </w:num>
  <w:num w:numId="5" w16cid:durableId="1614898287">
    <w:abstractNumId w:val="9"/>
  </w:num>
  <w:num w:numId="6" w16cid:durableId="1332755800">
    <w:abstractNumId w:val="4"/>
  </w:num>
  <w:num w:numId="7" w16cid:durableId="1845245499">
    <w:abstractNumId w:val="6"/>
  </w:num>
  <w:num w:numId="8" w16cid:durableId="783963738">
    <w:abstractNumId w:val="0"/>
  </w:num>
  <w:num w:numId="9" w16cid:durableId="258685910">
    <w:abstractNumId w:val="10"/>
  </w:num>
  <w:num w:numId="10" w16cid:durableId="1204945110">
    <w:abstractNumId w:val="13"/>
  </w:num>
  <w:num w:numId="11" w16cid:durableId="1086458748">
    <w:abstractNumId w:val="2"/>
  </w:num>
  <w:num w:numId="12" w16cid:durableId="990215200">
    <w:abstractNumId w:val="7"/>
  </w:num>
  <w:num w:numId="13" w16cid:durableId="2042782216">
    <w:abstractNumId w:val="1"/>
  </w:num>
  <w:num w:numId="14" w16cid:durableId="1133450087">
    <w:abstractNumId w:val="11"/>
  </w:num>
  <w:num w:numId="15" w16cid:durableId="342246178">
    <w:abstractNumId w:val="17"/>
  </w:num>
  <w:num w:numId="16" w16cid:durableId="903100257">
    <w:abstractNumId w:val="16"/>
  </w:num>
  <w:num w:numId="17" w16cid:durableId="732890119">
    <w:abstractNumId w:val="8"/>
  </w:num>
  <w:num w:numId="18" w16cid:durableId="1135758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25"/>
    <w:rsid w:val="000A3DE3"/>
    <w:rsid w:val="000C06AF"/>
    <w:rsid w:val="001749AD"/>
    <w:rsid w:val="0017521E"/>
    <w:rsid w:val="00180C37"/>
    <w:rsid w:val="001B1EF0"/>
    <w:rsid w:val="004A4696"/>
    <w:rsid w:val="006835EE"/>
    <w:rsid w:val="006A76DA"/>
    <w:rsid w:val="00770272"/>
    <w:rsid w:val="007B6F25"/>
    <w:rsid w:val="00A22E81"/>
    <w:rsid w:val="00A423C2"/>
    <w:rsid w:val="00B6041F"/>
    <w:rsid w:val="00BF1484"/>
    <w:rsid w:val="00C31E2B"/>
    <w:rsid w:val="00C535E8"/>
    <w:rsid w:val="00DF3C9F"/>
    <w:rsid w:val="00E024C0"/>
    <w:rsid w:val="00E10ECC"/>
    <w:rsid w:val="00EF6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7DE2"/>
  <w15:chartTrackingRefBased/>
  <w15:docId w15:val="{5CF311A3-3965-4778-BBB4-19C455B7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0" w:lineRule="atLeast"/>
    </w:pPr>
    <w:rPr>
      <w:rFonts w:ascii="Aptos" w:hAnsi="Aptos"/>
      <w:sz w:val="22"/>
    </w:rPr>
  </w:style>
  <w:style w:type="paragraph" w:styleId="Heading1">
    <w:name w:val="heading 1"/>
    <w:basedOn w:val="Normal"/>
    <w:next w:val="Normal"/>
    <w:link w:val="Heading1Char"/>
    <w:uiPriority w:val="9"/>
    <w:qFormat/>
    <w:rsid w:val="00174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49AD"/>
    <w:pPr>
      <w:keepNext/>
      <w:keepLines/>
      <w:spacing w:before="80" w:after="80" w:line="320" w:lineRule="atLeast"/>
      <w:outlineLvl w:val="1"/>
    </w:pPr>
    <w:rPr>
      <w:rFonts w:ascii="Aptos Display" w:eastAsiaTheme="majorEastAsia" w:hAnsi="Aptos Display" w:cstheme="majorBidi"/>
      <w:color w:val="0F4761"/>
      <w:sz w:val="32"/>
      <w:szCs w:val="32"/>
    </w:rPr>
  </w:style>
  <w:style w:type="paragraph" w:styleId="Heading3">
    <w:name w:val="heading 3"/>
    <w:basedOn w:val="Normal"/>
    <w:next w:val="Normal"/>
    <w:link w:val="Heading3Char"/>
    <w:uiPriority w:val="9"/>
    <w:unhideWhenUsed/>
    <w:qFormat/>
    <w:rsid w:val="001749AD"/>
    <w:pPr>
      <w:keepNext/>
      <w:keepLines/>
      <w:spacing w:before="120" w:after="40" w:line="280" w:lineRule="atLeast"/>
      <w:outlineLvl w:val="2"/>
    </w:pPr>
    <w:rPr>
      <w:rFonts w:eastAsiaTheme="majorEastAsia" w:cstheme="majorBidi"/>
      <w:color w:val="0F4761"/>
      <w:sz w:val="26"/>
      <w:szCs w:val="28"/>
    </w:rPr>
  </w:style>
  <w:style w:type="paragraph" w:styleId="Heading4">
    <w:name w:val="heading 4"/>
    <w:basedOn w:val="Normal"/>
    <w:next w:val="Normal"/>
    <w:link w:val="Heading4Char"/>
    <w:uiPriority w:val="9"/>
    <w:semiHidden/>
    <w:unhideWhenUsed/>
    <w:qFormat/>
    <w:rsid w:val="001749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9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9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9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9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9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9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49AD"/>
    <w:rPr>
      <w:rFonts w:ascii="Aptos Display" w:eastAsiaTheme="majorEastAsia" w:hAnsi="Aptos Display" w:cstheme="majorBidi"/>
      <w:color w:val="0F4761"/>
      <w:sz w:val="32"/>
      <w:szCs w:val="32"/>
    </w:rPr>
  </w:style>
  <w:style w:type="character" w:customStyle="1" w:styleId="Heading3Char">
    <w:name w:val="Heading 3 Char"/>
    <w:basedOn w:val="DefaultParagraphFont"/>
    <w:link w:val="Heading3"/>
    <w:uiPriority w:val="9"/>
    <w:rsid w:val="001749AD"/>
    <w:rPr>
      <w:rFonts w:ascii="Aptos" w:eastAsiaTheme="majorEastAsia" w:hAnsi="Aptos" w:cstheme="majorBidi"/>
      <w:color w:val="0F4761"/>
      <w:sz w:val="26"/>
      <w:szCs w:val="28"/>
    </w:rPr>
  </w:style>
  <w:style w:type="character" w:customStyle="1" w:styleId="Heading4Char">
    <w:name w:val="Heading 4 Char"/>
    <w:basedOn w:val="DefaultParagraphFont"/>
    <w:link w:val="Heading4"/>
    <w:uiPriority w:val="9"/>
    <w:semiHidden/>
    <w:rsid w:val="001749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9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9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9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9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9AD"/>
    <w:rPr>
      <w:rFonts w:eastAsiaTheme="majorEastAsia" w:cstheme="majorBidi"/>
      <w:color w:val="272727" w:themeColor="text1" w:themeTint="D8"/>
    </w:rPr>
  </w:style>
  <w:style w:type="paragraph" w:styleId="Title">
    <w:name w:val="Title"/>
    <w:basedOn w:val="Normal"/>
    <w:next w:val="Normal"/>
    <w:link w:val="TitleChar"/>
    <w:uiPriority w:val="10"/>
    <w:qFormat/>
    <w:rsid w:val="00174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9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9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9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9AD"/>
    <w:pPr>
      <w:spacing w:before="160"/>
      <w:jc w:val="center"/>
    </w:pPr>
    <w:rPr>
      <w:i/>
      <w:iCs/>
      <w:color w:val="404040" w:themeColor="text1" w:themeTint="BF"/>
    </w:rPr>
  </w:style>
  <w:style w:type="character" w:customStyle="1" w:styleId="QuoteChar">
    <w:name w:val="Quote Char"/>
    <w:basedOn w:val="DefaultParagraphFont"/>
    <w:link w:val="Quote"/>
    <w:uiPriority w:val="29"/>
    <w:rsid w:val="001749AD"/>
    <w:rPr>
      <w:i/>
      <w:iCs/>
      <w:color w:val="404040" w:themeColor="text1" w:themeTint="BF"/>
    </w:rPr>
  </w:style>
  <w:style w:type="paragraph" w:styleId="ListParagraph">
    <w:name w:val="List Paragraph"/>
    <w:basedOn w:val="Normal"/>
    <w:uiPriority w:val="34"/>
    <w:qFormat/>
    <w:rsid w:val="001749AD"/>
    <w:pPr>
      <w:ind w:left="720"/>
      <w:contextualSpacing/>
    </w:pPr>
  </w:style>
  <w:style w:type="character" w:styleId="IntenseEmphasis">
    <w:name w:val="Intense Emphasis"/>
    <w:basedOn w:val="DefaultParagraphFont"/>
    <w:uiPriority w:val="21"/>
    <w:qFormat/>
    <w:rsid w:val="001749AD"/>
    <w:rPr>
      <w:i/>
      <w:iCs/>
      <w:color w:val="0F4761" w:themeColor="accent1" w:themeShade="BF"/>
    </w:rPr>
  </w:style>
  <w:style w:type="paragraph" w:styleId="IntenseQuote">
    <w:name w:val="Intense Quote"/>
    <w:basedOn w:val="Normal"/>
    <w:next w:val="Normal"/>
    <w:link w:val="IntenseQuoteChar"/>
    <w:uiPriority w:val="30"/>
    <w:qFormat/>
    <w:rsid w:val="00174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9AD"/>
    <w:rPr>
      <w:i/>
      <w:iCs/>
      <w:color w:val="0F4761" w:themeColor="accent1" w:themeShade="BF"/>
    </w:rPr>
  </w:style>
  <w:style w:type="character" w:styleId="IntenseReference">
    <w:name w:val="Intense Reference"/>
    <w:basedOn w:val="DefaultParagraphFont"/>
    <w:uiPriority w:val="32"/>
    <w:qFormat/>
    <w:rsid w:val="001749AD"/>
    <w:rPr>
      <w:b/>
      <w:bCs/>
      <w:smallCaps/>
      <w:color w:val="0F4761" w:themeColor="accent1" w:themeShade="BF"/>
      <w:spacing w:val="5"/>
    </w:rPr>
  </w:style>
  <w:style w:type="paragraph" w:styleId="Header">
    <w:name w:val="header"/>
    <w:basedOn w:val="Normal"/>
    <w:link w:val="HeaderChar"/>
    <w:uiPriority w:val="99"/>
    <w:unhideWhenUsed/>
    <w:rsid w:val="007B6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F25"/>
  </w:style>
  <w:style w:type="paragraph" w:styleId="Footer">
    <w:name w:val="footer"/>
    <w:basedOn w:val="Normal"/>
    <w:link w:val="FooterChar"/>
    <w:uiPriority w:val="99"/>
    <w:unhideWhenUsed/>
    <w:rsid w:val="007B6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F25"/>
  </w:style>
  <w:style w:type="character" w:styleId="BookTitle">
    <w:name w:val="Book Title"/>
    <w:basedOn w:val="DefaultParagraphFont"/>
    <w:uiPriority w:val="33"/>
    <w:qFormat/>
    <w:rsid w:val="007B6F25"/>
    <w:rPr>
      <w:b/>
      <w:bCs/>
      <w:i/>
      <w:iCs/>
      <w:spacing w:val="5"/>
    </w:rPr>
  </w:style>
  <w:style w:type="paragraph" w:styleId="Caption">
    <w:name w:val="caption"/>
    <w:basedOn w:val="Normal"/>
    <w:next w:val="Normal"/>
    <w:uiPriority w:val="35"/>
    <w:semiHidden/>
    <w:unhideWhenUsed/>
    <w:qFormat/>
    <w:rsid w:val="007B6F25"/>
    <w:pPr>
      <w:spacing w:after="200" w:line="240" w:lineRule="auto"/>
    </w:pPr>
    <w:rPr>
      <w:i/>
      <w:iCs/>
      <w:color w:val="0E2841" w:themeColor="text2"/>
      <w:sz w:val="18"/>
      <w:szCs w:val="18"/>
    </w:rPr>
  </w:style>
  <w:style w:type="character" w:styleId="Emphasis">
    <w:name w:val="Emphasis"/>
    <w:basedOn w:val="DefaultParagraphFont"/>
    <w:uiPriority w:val="20"/>
    <w:qFormat/>
    <w:rsid w:val="007B6F25"/>
    <w:rPr>
      <w:i/>
      <w:iCs/>
    </w:rPr>
  </w:style>
  <w:style w:type="paragraph" w:styleId="NoSpacing">
    <w:name w:val="No Spacing"/>
    <w:uiPriority w:val="1"/>
    <w:qFormat/>
    <w:rsid w:val="007B6F25"/>
    <w:pPr>
      <w:spacing w:after="0" w:line="240" w:lineRule="auto"/>
    </w:pPr>
  </w:style>
  <w:style w:type="character" w:styleId="Strong">
    <w:name w:val="Strong"/>
    <w:basedOn w:val="DefaultParagraphFont"/>
    <w:uiPriority w:val="22"/>
    <w:qFormat/>
    <w:rsid w:val="007B6F25"/>
    <w:rPr>
      <w:b/>
      <w:bCs/>
    </w:rPr>
  </w:style>
  <w:style w:type="character" w:styleId="SubtleEmphasis">
    <w:name w:val="Subtle Emphasis"/>
    <w:basedOn w:val="DefaultParagraphFont"/>
    <w:uiPriority w:val="19"/>
    <w:qFormat/>
    <w:rsid w:val="007B6F25"/>
    <w:rPr>
      <w:i/>
      <w:iCs/>
      <w:color w:val="404040" w:themeColor="text1" w:themeTint="BF"/>
    </w:rPr>
  </w:style>
  <w:style w:type="character" w:styleId="SubtleReference">
    <w:name w:val="Subtle Reference"/>
    <w:basedOn w:val="DefaultParagraphFont"/>
    <w:uiPriority w:val="31"/>
    <w:qFormat/>
    <w:rsid w:val="007B6F25"/>
    <w:rPr>
      <w:smallCaps/>
      <w:color w:val="5A5A5A" w:themeColor="text1" w:themeTint="A5"/>
    </w:rPr>
  </w:style>
  <w:style w:type="paragraph" w:styleId="TOCHeading">
    <w:name w:val="TOC Heading"/>
    <w:basedOn w:val="Heading1"/>
    <w:next w:val="Normal"/>
    <w:uiPriority w:val="39"/>
    <w:semiHidden/>
    <w:unhideWhenUsed/>
    <w:qFormat/>
    <w:rsid w:val="007B6F2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6556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918A3-BC4A-4E9B-BEC4-D2F1CC73F11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92</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KEATING, Edward (NHS NORTH EAST LONDON ICB - A3A8R)</dc:creator>
  <cp:keywords/>
  <dc:description/>
  <cp:lastModifiedBy>KEATING, Edward (NHS NORTH EAST LONDON ICB - A3A8R)</cp:lastModifiedBy>
  <cp:revision>2</cp:revision>
  <cp:lastPrinted>2026-08-11T12:08:00Z</cp:lastPrinted>
  <dcterms:created xsi:type="dcterms:W3CDTF">2026-08-11T10:35:00Z</dcterms:created>
  <dcterms:modified xsi:type="dcterms:W3CDTF">2026-08-11T12:08:00Z</dcterms:modified>
</cp:coreProperties>
</file>