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FCEE" w14:textId="7E4251F9" w:rsidR="00426178" w:rsidRDefault="08B235BE" w:rsidP="00426178">
      <w:pPr>
        <w:pStyle w:val="Title"/>
      </w:pPr>
      <w:r>
        <w:t xml:space="preserve">Tower Hamlets </w:t>
      </w:r>
      <w:proofErr w:type="gramStart"/>
      <w:r w:rsidR="3C1DC298">
        <w:t>Lead</w:t>
      </w:r>
      <w:proofErr w:type="gramEnd"/>
      <w:r w:rsidR="3C1DC298">
        <w:t xml:space="preserve"> GP Safeguarding Meeting Minutes</w:t>
      </w:r>
    </w:p>
    <w:p w14:paraId="39706536" w14:textId="5FCFEA77" w:rsidR="00426178" w:rsidRDefault="3C1DC298" w:rsidP="00426178">
      <w:pPr>
        <w:pStyle w:val="Subtitle"/>
      </w:pPr>
      <w:r>
        <w:t>Date: 06/1</w:t>
      </w:r>
      <w:r w:rsidR="6E1CF8A9">
        <w:t>1</w:t>
      </w:r>
      <w:r>
        <w:t>/2025</w:t>
      </w:r>
    </w:p>
    <w:p w14:paraId="02EF5800" w14:textId="77777777" w:rsidR="00426178" w:rsidRPr="00C42AC2" w:rsidRDefault="00426178" w:rsidP="00C20B37">
      <w:pPr>
        <w:pStyle w:val="Heading4"/>
        <w:rPr>
          <w:u w:val="single"/>
        </w:rPr>
      </w:pPr>
      <w:r w:rsidRPr="00C42AC2">
        <w:rPr>
          <w:u w:val="single"/>
        </w:rPr>
        <w:t>1. Updates to Safeguarding Resources and Training Requirements</w:t>
      </w:r>
    </w:p>
    <w:p w14:paraId="21D4E317" w14:textId="7BECF666" w:rsidR="00426178" w:rsidRPr="00C42AC2" w:rsidRDefault="00426178" w:rsidP="00C20B37">
      <w:pPr>
        <w:pStyle w:val="Heading4"/>
        <w:rPr>
          <w:u w:val="single"/>
        </w:rPr>
      </w:pPr>
      <w:r w:rsidRPr="00C42AC2">
        <w:rPr>
          <w:u w:val="single"/>
        </w:rPr>
        <w:t>1.1 N</w:t>
      </w:r>
      <w:r w:rsidR="002A67D1" w:rsidRPr="00C42AC2">
        <w:rPr>
          <w:u w:val="single"/>
        </w:rPr>
        <w:t>EL</w:t>
      </w:r>
      <w:r w:rsidRPr="00C42AC2">
        <w:rPr>
          <w:u w:val="single"/>
        </w:rPr>
        <w:t xml:space="preserve"> Portal Resources Overview</w:t>
      </w:r>
    </w:p>
    <w:p w14:paraId="079EA50A" w14:textId="18866E67" w:rsidR="000C3E49" w:rsidRDefault="00426178" w:rsidP="00353CD9">
      <w:r w:rsidRPr="00426178">
        <w:t>Emma</w:t>
      </w:r>
      <w:r w:rsidR="00951FD0">
        <w:t xml:space="preserve"> </w:t>
      </w:r>
      <w:r w:rsidRPr="00426178">
        <w:t>highligh</w:t>
      </w:r>
      <w:r w:rsidR="002874E7">
        <w:t>t</w:t>
      </w:r>
      <w:r w:rsidR="00951FD0">
        <w:t>ed</w:t>
      </w:r>
      <w:r w:rsidRPr="00426178">
        <w:t xml:space="preserve"> the revised Nel Safeguarding Handbook and the RCGP toolkit. Both resources should be used together for comprehensive guidance. Notable additions include local flowcharts, injury protocols, and safeguarding pathways, which are recommended for inclusion in locum induction packs.</w:t>
      </w:r>
      <w:r w:rsidR="00E95527">
        <w:t xml:space="preserve"> </w:t>
      </w:r>
      <w:r w:rsidR="00951FD0">
        <w:t xml:space="preserve">We are in the process of updating the portal to ensure that Tower Hamlets information is together and easily accessible. </w:t>
      </w:r>
      <w:r w:rsidR="000176B0">
        <w:t>We will let you know when this is up and running</w:t>
      </w:r>
      <w:r w:rsidR="00832BE7">
        <w:t xml:space="preserve">, until then we have asked for </w:t>
      </w:r>
      <w:proofErr w:type="gramStart"/>
      <w:r w:rsidR="00832BE7">
        <w:t>a number of</w:t>
      </w:r>
      <w:proofErr w:type="gramEnd"/>
      <w:r w:rsidR="00832BE7">
        <w:t xml:space="preserve"> documents to be circulated with these minutes. </w:t>
      </w:r>
    </w:p>
    <w:p w14:paraId="18591784" w14:textId="30FA265E" w:rsidR="000C3E49" w:rsidRDefault="000C3E49" w:rsidP="00353CD9">
      <w:hyperlink r:id="rId5" w:tgtFrame="_blank" w:history="1">
        <w:r w:rsidRPr="000C3E49">
          <w:rPr>
            <w:rStyle w:val="Hyperlink"/>
          </w:rPr>
          <w:t>RCGP Safeguarding toolkit: Introduction | RCGP Learning</w:t>
        </w:r>
      </w:hyperlink>
    </w:p>
    <w:p w14:paraId="7F0B8CB9" w14:textId="77777777" w:rsidR="000C3E49" w:rsidRPr="000C3E49" w:rsidRDefault="000C3E49" w:rsidP="00353CD9">
      <w:hyperlink r:id="rId6" w:tgtFrame="_blank" w:history="1">
        <w:r w:rsidRPr="000C3E49">
          <w:rPr>
            <w:rStyle w:val="Hyperlink"/>
          </w:rPr>
          <w:t>BHR GP SAFEGUARDING HANDBOOK 2021</w:t>
        </w:r>
      </w:hyperlink>
    </w:p>
    <w:p w14:paraId="749F73FD" w14:textId="77777777" w:rsidR="000C3E49" w:rsidRPr="000C3E49" w:rsidRDefault="000C3E49" w:rsidP="00353CD9">
      <w:hyperlink r:id="rId7" w:tgtFrame="_blank" w:history="1">
        <w:r w:rsidRPr="000C3E49">
          <w:rPr>
            <w:rStyle w:val="Hyperlink"/>
          </w:rPr>
          <w:t>Safeguarding_Adolescents_A_Practice_Guide_2020_FINAL.pdf</w:t>
        </w:r>
      </w:hyperlink>
    </w:p>
    <w:p w14:paraId="30FCEE2B" w14:textId="2CE7E4AB" w:rsidR="00426178" w:rsidRDefault="00426178" w:rsidP="00353CD9"/>
    <w:p w14:paraId="1023A5A0" w14:textId="77777777" w:rsidR="00426178" w:rsidRPr="00C42AC2" w:rsidRDefault="00426178" w:rsidP="00C20B37">
      <w:pPr>
        <w:pStyle w:val="Heading4"/>
        <w:rPr>
          <w:u w:val="single"/>
        </w:rPr>
      </w:pPr>
      <w:r w:rsidRPr="00C42AC2">
        <w:rPr>
          <w:u w:val="single"/>
        </w:rPr>
        <w:t>1.2 New Training Requirements</w:t>
      </w:r>
    </w:p>
    <w:p w14:paraId="196DDBE8" w14:textId="77777777" w:rsidR="00E95527" w:rsidRPr="00E95527" w:rsidRDefault="00426178" w:rsidP="00353CD9">
      <w:r w:rsidRPr="00426178">
        <w:t>Safeguarding training has shifted from a three-year cycle to mandatory annual updates for all staff, including new starters and locums. Level 3 training will be delivered locally, with e-learning modules available. Emma clarified that CQC expects safeguarding leads to be Level 3 trained, not Level 4, and emphasised the importance of organisational safeguarding induction for new staff.</w:t>
      </w:r>
      <w:r w:rsidR="00987737">
        <w:t xml:space="preserve"> </w:t>
      </w:r>
      <w:proofErr w:type="gramStart"/>
      <w:r w:rsidR="007C1B07">
        <w:t>An</w:t>
      </w:r>
      <w:proofErr w:type="gramEnd"/>
      <w:r w:rsidR="007C1B07">
        <w:t xml:space="preserve"> webinar by the Author of the new guidance </w:t>
      </w:r>
      <w:r w:rsidR="00E95527">
        <w:t xml:space="preserve">is recommended - </w:t>
      </w:r>
      <w:hyperlink r:id="rId8" w:tgtFrame="_blank" w:history="1">
        <w:r w:rsidR="00E95527" w:rsidRPr="00E95527">
          <w:rPr>
            <w:rStyle w:val="Hyperlink"/>
          </w:rPr>
          <w:t>BHR Safeguarding Forum 26 Mar 2025</w:t>
        </w:r>
      </w:hyperlink>
    </w:p>
    <w:p w14:paraId="01A72812" w14:textId="77777777" w:rsidR="00426178" w:rsidRDefault="00426178" w:rsidP="00353CD9">
      <w:r w:rsidRPr="00426178">
        <w:t>Emma outlined five key safeguarding competencies:</w:t>
      </w:r>
    </w:p>
    <w:p w14:paraId="15AC9B81" w14:textId="77777777" w:rsidR="00426178" w:rsidRDefault="00426178" w:rsidP="00353CD9">
      <w:r w:rsidRPr="00426178">
        <w:t>Professional responsibilities</w:t>
      </w:r>
    </w:p>
    <w:p w14:paraId="08EC8A90" w14:textId="77777777" w:rsidR="00426178" w:rsidRDefault="00426178" w:rsidP="00353CD9">
      <w:r w:rsidRPr="00426178">
        <w:t>Identifying abuse and neglect</w:t>
      </w:r>
    </w:p>
    <w:p w14:paraId="13D7037A" w14:textId="77777777" w:rsidR="00426178" w:rsidRDefault="00426178" w:rsidP="00353CD9">
      <w:r w:rsidRPr="00426178">
        <w:t>Responding to concerns</w:t>
      </w:r>
    </w:p>
    <w:p w14:paraId="3562BB4A" w14:textId="77777777" w:rsidR="00426178" w:rsidRDefault="00426178" w:rsidP="00353CD9">
      <w:r w:rsidRPr="00426178">
        <w:t>Documenting appropriately</w:t>
      </w:r>
    </w:p>
    <w:p w14:paraId="46BDAD9C" w14:textId="77777777" w:rsidR="00426178" w:rsidRDefault="00426178" w:rsidP="00353CD9">
      <w:r w:rsidRPr="00426178">
        <w:t>Information sharing</w:t>
      </w:r>
    </w:p>
    <w:p w14:paraId="391ACB67" w14:textId="77777777" w:rsidR="00426178" w:rsidRDefault="00426178" w:rsidP="00353CD9">
      <w:r w:rsidRPr="00426178">
        <w:t>Examples of evidence include referrals, case conferences, and multi-agency meetings.</w:t>
      </w:r>
    </w:p>
    <w:p w14:paraId="3BDC33EA" w14:textId="555658B4" w:rsidR="00426178" w:rsidRPr="00C42AC2" w:rsidRDefault="00426178" w:rsidP="00C20B37">
      <w:pPr>
        <w:pStyle w:val="Heading4"/>
        <w:rPr>
          <w:u w:val="single"/>
        </w:rPr>
      </w:pPr>
      <w:r w:rsidRPr="00C42AC2">
        <w:rPr>
          <w:u w:val="single"/>
        </w:rPr>
        <w:lastRenderedPageBreak/>
        <w:t>1.</w:t>
      </w:r>
      <w:r w:rsidR="00253CCC" w:rsidRPr="00C42AC2">
        <w:rPr>
          <w:u w:val="single"/>
        </w:rPr>
        <w:t>3</w:t>
      </w:r>
      <w:r w:rsidRPr="00C42AC2">
        <w:rPr>
          <w:u w:val="single"/>
        </w:rPr>
        <w:t xml:space="preserve"> Multi-Agency Training and Feedback</w:t>
      </w:r>
    </w:p>
    <w:p w14:paraId="497ABA64" w14:textId="77777777" w:rsidR="00426178" w:rsidRDefault="00426178" w:rsidP="00353CD9">
      <w:r w:rsidRPr="00426178">
        <w:t>Emma and Helen encouraged attendance at local annual safeguarding updates and multi-agency training. They welcomed constructive feedback to improve future sessions, with the next update scheduled for April.</w:t>
      </w:r>
    </w:p>
    <w:p w14:paraId="59F0C412" w14:textId="77777777" w:rsidR="00426178" w:rsidRPr="00C42AC2" w:rsidRDefault="00426178" w:rsidP="00C20B37">
      <w:pPr>
        <w:pStyle w:val="Heading4"/>
        <w:rPr>
          <w:u w:val="single"/>
        </w:rPr>
      </w:pPr>
      <w:r w:rsidRPr="00C42AC2">
        <w:rPr>
          <w:u w:val="single"/>
        </w:rPr>
        <w:t>2. Safeguarding Children’s Partnership and Case Review Learnings</w:t>
      </w:r>
    </w:p>
    <w:p w14:paraId="0F5C01C9" w14:textId="77777777" w:rsidR="00426178" w:rsidRPr="00C42AC2" w:rsidRDefault="00426178" w:rsidP="00C20B37">
      <w:pPr>
        <w:pStyle w:val="Heading4"/>
        <w:rPr>
          <w:u w:val="single"/>
        </w:rPr>
      </w:pPr>
      <w:r w:rsidRPr="00C42AC2">
        <w:rPr>
          <w:u w:val="single"/>
        </w:rPr>
        <w:t>2.1 Local Case Review</w:t>
      </w:r>
    </w:p>
    <w:p w14:paraId="20F18D1A" w14:textId="170AD19B" w:rsidR="003714C5" w:rsidRDefault="3C1DC298" w:rsidP="00353CD9">
      <w:r>
        <w:t>Helen presented a significant case reviewed by the Safeguarding Children’s Partnership, focusing on missed opportunities in the care of vulnerable children.</w:t>
      </w:r>
      <w:r w:rsidR="63E0C400">
        <w:t xml:space="preserve"> The case involved two children experiencing severe neglect and missed health </w:t>
      </w:r>
      <w:proofErr w:type="gramStart"/>
      <w:r w:rsidR="63E0C400">
        <w:t>assessments</w:t>
      </w:r>
      <w:r>
        <w:t xml:space="preserve"> </w:t>
      </w:r>
      <w:r w:rsidR="63E0C400">
        <w:t>.</w:t>
      </w:r>
      <w:proofErr w:type="gramEnd"/>
      <w:r w:rsidR="63E0C400">
        <w:t xml:space="preserve"> Helen highlighted the need to refine protocols for children not brought to appointments, especially those with learning disabilities or communication challenges.</w:t>
      </w:r>
      <w:r w:rsidR="7CF53DE2">
        <w:t xml:space="preserve"> Please share this with your </w:t>
      </w:r>
      <w:proofErr w:type="gramStart"/>
      <w:r w:rsidR="7CF53DE2">
        <w:t xml:space="preserve">colleagues  </w:t>
      </w:r>
      <w:r w:rsidR="6DC8E96D">
        <w:t>;</w:t>
      </w:r>
      <w:proofErr w:type="gramEnd"/>
      <w:r w:rsidR="6DC8E96D">
        <w:t xml:space="preserve"> </w:t>
      </w:r>
      <w:r w:rsidR="7CF53DE2">
        <w:t xml:space="preserve"> during a clinical meeting may be a go</w:t>
      </w:r>
      <w:r w:rsidR="3E7F9608">
        <w:t>o</w:t>
      </w:r>
      <w:r w:rsidR="7CF53DE2">
        <w:t xml:space="preserve">d way to engage and discuss the learning and how to embed within your practice. </w:t>
      </w:r>
    </w:p>
    <w:p w14:paraId="0D44A0FD" w14:textId="1BBF103E" w:rsidR="00426178" w:rsidRDefault="0C448B36" w:rsidP="05EE1417">
      <w:pPr>
        <w:rPr>
          <w:rFonts w:ascii="Aptos" w:eastAsia="Aptos" w:hAnsi="Aptos"/>
        </w:rPr>
      </w:pPr>
      <w:r w:rsidRPr="05EE1417">
        <w:rPr>
          <w:rFonts w:ascii="Aptos" w:eastAsia="Aptos" w:hAnsi="Aptos"/>
          <w:u w:val="single"/>
        </w:rPr>
        <w:t xml:space="preserve">Voice of the Child: </w:t>
      </w:r>
      <w:r w:rsidRPr="05EE1417">
        <w:rPr>
          <w:rFonts w:ascii="Aptos" w:eastAsia="Aptos" w:hAnsi="Aptos"/>
        </w:rPr>
        <w:t>For children who are non-speaking or have complex communication needs, professionals should actively seek adapted approaches to understand their lived experiences. Relying solely on parental reports is insufficient where there are safeguarding concerns.</w:t>
      </w:r>
    </w:p>
    <w:p w14:paraId="32F84BBE" w14:textId="18998D14" w:rsidR="00426178" w:rsidRDefault="0C448B36" w:rsidP="05EE1417">
      <w:pPr>
        <w:rPr>
          <w:rFonts w:ascii="Aptos" w:eastAsia="Aptos" w:hAnsi="Aptos"/>
        </w:rPr>
      </w:pPr>
      <w:r w:rsidRPr="05EE1417">
        <w:rPr>
          <w:rFonts w:ascii="Aptos" w:eastAsia="Aptos" w:hAnsi="Aptos"/>
        </w:rPr>
        <w:t xml:space="preserve">Neglect and Missed Appointments: Missed health appointments and deteriorating home conditions were significant warning signs in this case. </w:t>
      </w:r>
      <w:r w:rsidR="6A89096A" w:rsidRPr="05EE1417">
        <w:rPr>
          <w:rFonts w:ascii="Aptos" w:eastAsia="Aptos" w:hAnsi="Aptos"/>
        </w:rPr>
        <w:t>GPs should</w:t>
      </w:r>
    </w:p>
    <w:p w14:paraId="0989EE83" w14:textId="17E0D6FF" w:rsidR="00426178" w:rsidRDefault="0C448B36" w:rsidP="05EE1417">
      <w:pPr>
        <w:pStyle w:val="ListParagraph"/>
        <w:numPr>
          <w:ilvl w:val="0"/>
          <w:numId w:val="1"/>
        </w:numPr>
        <w:rPr>
          <w:rFonts w:ascii="Aptos" w:eastAsia="Aptos" w:hAnsi="Aptos"/>
        </w:rPr>
      </w:pPr>
      <w:r w:rsidRPr="05EE1417">
        <w:rPr>
          <w:rFonts w:ascii="Aptos" w:eastAsia="Aptos" w:hAnsi="Aptos"/>
        </w:rPr>
        <w:t>Ensure robust recording and coding of missed appointments (“Was Not Brought”)</w:t>
      </w:r>
    </w:p>
    <w:p w14:paraId="1A216257" w14:textId="1B2BAFD3" w:rsidR="00426178" w:rsidRDefault="0C448B36" w:rsidP="05EE1417">
      <w:pPr>
        <w:pStyle w:val="ListParagraph"/>
        <w:numPr>
          <w:ilvl w:val="0"/>
          <w:numId w:val="1"/>
        </w:numPr>
        <w:rPr>
          <w:rFonts w:ascii="Aptos" w:eastAsia="Aptos" w:hAnsi="Aptos"/>
        </w:rPr>
      </w:pPr>
      <w:r w:rsidRPr="05EE1417">
        <w:rPr>
          <w:rFonts w:ascii="Aptos" w:eastAsia="Aptos" w:hAnsi="Aptos"/>
        </w:rPr>
        <w:t>Escalate concerns through appropriate safeguarding pathways when patterns emerge, particularly for children with additional needs.</w:t>
      </w:r>
    </w:p>
    <w:p w14:paraId="2C405733" w14:textId="5CCF61CB" w:rsidR="00426178" w:rsidRDefault="0C448B36" w:rsidP="05EE1417">
      <w:pPr>
        <w:rPr>
          <w:rFonts w:ascii="Aptos" w:eastAsia="Aptos" w:hAnsi="Aptos"/>
        </w:rPr>
      </w:pPr>
      <w:r w:rsidRPr="05EE1417">
        <w:rPr>
          <w:rFonts w:ascii="Aptos" w:eastAsia="Aptos" w:hAnsi="Aptos"/>
          <w:u w:val="single"/>
        </w:rPr>
        <w:t>Children with Complex Needs</w:t>
      </w:r>
      <w:r w:rsidRPr="05EE1417">
        <w:rPr>
          <w:rFonts w:ascii="Aptos" w:eastAsia="Aptos" w:hAnsi="Aptos"/>
        </w:rPr>
        <w:t>: The report highlights the importance of using the “reasonable adjustments” digital flag in GP records and ensuring eligible children receive Learning Disability annual health checks.</w:t>
      </w:r>
    </w:p>
    <w:p w14:paraId="7F640954" w14:textId="7D9C5EF0" w:rsidR="00426178" w:rsidRDefault="0C448B36" w:rsidP="05EE1417">
      <w:pPr>
        <w:rPr>
          <w:rFonts w:ascii="Aptos" w:eastAsia="Aptos" w:hAnsi="Aptos"/>
        </w:rPr>
      </w:pPr>
      <w:r w:rsidRPr="05EE1417">
        <w:rPr>
          <w:rFonts w:ascii="Aptos" w:eastAsia="Aptos" w:hAnsi="Aptos"/>
          <w:u w:val="single"/>
        </w:rPr>
        <w:t xml:space="preserve">Young Carers: </w:t>
      </w:r>
      <w:r w:rsidRPr="05EE1417">
        <w:rPr>
          <w:rFonts w:ascii="Aptos" w:eastAsia="Aptos" w:hAnsi="Aptos"/>
        </w:rPr>
        <w:t>Yusuf, aged 15, took on inappropriate caring responsibilities. GPs should remain alert to young carers and refer to local support where needed, ensuring assessments meet the requirements of Section 64 of the Care Act 2014.</w:t>
      </w:r>
    </w:p>
    <w:p w14:paraId="2BCC5C74" w14:textId="5A1420D6" w:rsidR="00426178" w:rsidRDefault="0C448B36" w:rsidP="05EE1417">
      <w:pPr>
        <w:rPr>
          <w:rFonts w:ascii="Aptos" w:eastAsia="Aptos" w:hAnsi="Aptos"/>
        </w:rPr>
      </w:pPr>
      <w:r w:rsidRPr="05EE1417">
        <w:rPr>
          <w:rFonts w:ascii="Aptos" w:eastAsia="Aptos" w:hAnsi="Aptos"/>
          <w:u w:val="single"/>
        </w:rPr>
        <w:t>Transition to Adult Services:</w:t>
      </w:r>
      <w:r w:rsidRPr="05EE1417">
        <w:rPr>
          <w:rFonts w:ascii="Aptos" w:eastAsia="Aptos" w:hAnsi="Aptos"/>
        </w:rPr>
        <w:t xml:space="preserve"> For young people with complex needs, transition planning should begin early and involve all relevant agencies. GPs play an important role in contributing to these plans and ensuring continuity of care.</w:t>
      </w:r>
    </w:p>
    <w:p w14:paraId="0BC71502" w14:textId="3876E644" w:rsidR="00426178" w:rsidRDefault="34717DD6" w:rsidP="05EE1417">
      <w:r>
        <w:t xml:space="preserve">7 minute briefing document can be found here - </w:t>
      </w:r>
      <w:hyperlink r:id="rId9">
        <w:r w:rsidR="6924D6BA" w:rsidRPr="05EE1417">
          <w:rPr>
            <w:rStyle w:val="Hyperlink"/>
          </w:rPr>
          <w:t>7-minute-briefing-LCSPR-Ibrahim-Yusuf</w:t>
        </w:r>
      </w:hyperlink>
    </w:p>
    <w:p w14:paraId="7488F192" w14:textId="77777777" w:rsidR="00426178" w:rsidRPr="00C42AC2" w:rsidRDefault="00426178" w:rsidP="00C20B37">
      <w:pPr>
        <w:pStyle w:val="Heading4"/>
        <w:rPr>
          <w:u w:val="single"/>
        </w:rPr>
      </w:pPr>
      <w:r w:rsidRPr="00C42AC2">
        <w:rPr>
          <w:u w:val="single"/>
        </w:rPr>
        <w:lastRenderedPageBreak/>
        <w:t>3. Multi-Agency Information Sharing and Health Liaison</w:t>
      </w:r>
    </w:p>
    <w:p w14:paraId="525EE37F" w14:textId="32E2D2B5" w:rsidR="00426178" w:rsidRPr="00C42AC2" w:rsidRDefault="00426178" w:rsidP="00C20B37">
      <w:pPr>
        <w:pStyle w:val="Heading4"/>
        <w:rPr>
          <w:u w:val="single"/>
        </w:rPr>
      </w:pPr>
      <w:r w:rsidRPr="00C42AC2">
        <w:rPr>
          <w:u w:val="single"/>
        </w:rPr>
        <w:t>3.1 Improvements in Information Sharing</w:t>
      </w:r>
      <w:r w:rsidR="000F5D91" w:rsidRPr="00C42AC2">
        <w:rPr>
          <w:u w:val="single"/>
        </w:rPr>
        <w:t xml:space="preserve"> for MAST</w:t>
      </w:r>
    </w:p>
    <w:p w14:paraId="6A7043DD" w14:textId="58912A19" w:rsidR="00426178" w:rsidRDefault="00426178" w:rsidP="00353CD9">
      <w:r w:rsidRPr="00426178">
        <w:t xml:space="preserve">Helen and Emma described enhanced multi-agency information sharing, including the role of </w:t>
      </w:r>
      <w:r w:rsidR="000F5D91">
        <w:t xml:space="preserve">MAST </w:t>
      </w:r>
      <w:r w:rsidRPr="00426178">
        <w:t>health liaison workers who now access primary care and health system records to provide timely information for safeguarding inquiries.</w:t>
      </w:r>
      <w:r w:rsidR="005C57F1" w:rsidRPr="005C57F1">
        <w:t xml:space="preserve"> </w:t>
      </w:r>
      <w:r w:rsidR="005C57F1">
        <w:t>MAST n</w:t>
      </w:r>
      <w:r w:rsidR="005C57F1" w:rsidRPr="00426178">
        <w:t>otification documents now clarify which information has been shared, aiding in tracking safeguarding issues.</w:t>
      </w:r>
    </w:p>
    <w:p w14:paraId="664E68B3" w14:textId="77777777" w:rsidR="00426178" w:rsidRPr="00C42AC2" w:rsidRDefault="00426178" w:rsidP="00C20B37">
      <w:pPr>
        <w:pStyle w:val="Heading4"/>
        <w:rPr>
          <w:u w:val="single"/>
        </w:rPr>
      </w:pPr>
      <w:r w:rsidRPr="00C42AC2">
        <w:rPr>
          <w:u w:val="single"/>
        </w:rPr>
        <w:t>3.2 Notification Document Handling</w:t>
      </w:r>
    </w:p>
    <w:p w14:paraId="5A0BE15A" w14:textId="5408E93B" w:rsidR="00426178" w:rsidRDefault="00426178" w:rsidP="00353CD9">
      <w:r w:rsidRPr="00426178">
        <w:t xml:space="preserve">Robust systems for coding and managing notification documents are essential, particularly to ensure appropriate shielding of patient information from age 16 onwards. </w:t>
      </w:r>
    </w:p>
    <w:p w14:paraId="6859BB3A" w14:textId="77777777" w:rsidR="00426178" w:rsidRPr="00C42AC2" w:rsidRDefault="00426178" w:rsidP="00C20B37">
      <w:pPr>
        <w:pStyle w:val="Heading4"/>
        <w:rPr>
          <w:u w:val="single"/>
        </w:rPr>
      </w:pPr>
      <w:r w:rsidRPr="00C42AC2">
        <w:rPr>
          <w:u w:val="single"/>
        </w:rPr>
        <w:t>4. School Nursing Contract Changes and Collaborative Working</w:t>
      </w:r>
    </w:p>
    <w:p w14:paraId="3A8E7EA3" w14:textId="77777777" w:rsidR="00426178" w:rsidRPr="00C42AC2" w:rsidRDefault="00426178" w:rsidP="00C20B37">
      <w:pPr>
        <w:pStyle w:val="Heading4"/>
        <w:rPr>
          <w:u w:val="single"/>
        </w:rPr>
      </w:pPr>
      <w:r w:rsidRPr="00C42AC2">
        <w:rPr>
          <w:u w:val="single"/>
        </w:rPr>
        <w:t>4.1 Contract Transfer</w:t>
      </w:r>
    </w:p>
    <w:p w14:paraId="5C3B6819" w14:textId="1CC33964" w:rsidR="00426178" w:rsidRDefault="11CACF18" w:rsidP="00353CD9">
      <w:r>
        <w:t xml:space="preserve">Helen informed the group that the school nursing contract has transferred to Compass, which also provides sexual health and substance misuse services. Referrals are made via a ‘request for support’ </w:t>
      </w:r>
      <w:proofErr w:type="gramStart"/>
      <w:r>
        <w:t>form, and</w:t>
      </w:r>
      <w:proofErr w:type="gramEnd"/>
      <w:r>
        <w:t xml:space="preserve"> contact details have been circulated. The new team is open to collaborative working, </w:t>
      </w:r>
    </w:p>
    <w:p w14:paraId="4EF234BE" w14:textId="035349D3" w:rsidR="00426178" w:rsidRDefault="6556B6F1" w:rsidP="00353CD9">
      <w:r>
        <w:t xml:space="preserve">We are aware of </w:t>
      </w:r>
      <w:r w:rsidR="11CACF18">
        <w:t xml:space="preserve">concerns about </w:t>
      </w:r>
      <w:r w:rsidR="19D6D63A">
        <w:t xml:space="preserve">the nurses not having </w:t>
      </w:r>
      <w:r w:rsidR="11CACF18">
        <w:t xml:space="preserve">access to </w:t>
      </w:r>
      <w:r w:rsidR="70A9825F">
        <w:t xml:space="preserve">GP </w:t>
      </w:r>
      <w:proofErr w:type="spellStart"/>
      <w:r w:rsidR="70A9825F">
        <w:t>emis</w:t>
      </w:r>
      <w:proofErr w:type="spellEnd"/>
      <w:r w:rsidR="70A9825F">
        <w:t xml:space="preserve"> </w:t>
      </w:r>
      <w:r w:rsidR="11CACF18">
        <w:t>record</w:t>
      </w:r>
      <w:r w:rsidR="15D5F7FA">
        <w:t>s and await an update on this area from the service</w:t>
      </w:r>
      <w:r w:rsidR="11CACF18">
        <w:t>.</w:t>
      </w:r>
      <w:r w:rsidR="5586774F">
        <w:t xml:space="preserve"> </w:t>
      </w:r>
    </w:p>
    <w:p w14:paraId="58C4498B" w14:textId="702FF08A" w:rsidR="00A72DB7" w:rsidRDefault="00A72DB7" w:rsidP="00353CD9">
      <w:hyperlink r:id="rId10" w:history="1">
        <w:r w:rsidRPr="00A72DB7">
          <w:rPr>
            <w:rStyle w:val="Hyperlink"/>
          </w:rPr>
          <w:t>Children and Young People’s Health &amp; Wellbeing Service (CYPHWS) - Compass</w:t>
        </w:r>
      </w:hyperlink>
    </w:p>
    <w:p w14:paraId="6DA936E9" w14:textId="77777777" w:rsidR="00B0511F" w:rsidRPr="00C20B37" w:rsidRDefault="00B0511F" w:rsidP="00353CD9">
      <w:r w:rsidRPr="00C20B37">
        <w:t>Tel: 020 3954 0091</w:t>
      </w:r>
    </w:p>
    <w:p w14:paraId="0FAC7212" w14:textId="77777777" w:rsidR="00B0511F" w:rsidRPr="00B0511F" w:rsidRDefault="00B0511F" w:rsidP="00353CD9">
      <w:hyperlink r:id="rId11" w:history="1">
        <w:r w:rsidRPr="00B0511F">
          <w:rPr>
            <w:rStyle w:val="Hyperlink"/>
          </w:rPr>
          <w:t>Email: compass.towerhamletsyphws@nhs.net</w:t>
        </w:r>
      </w:hyperlink>
    </w:p>
    <w:p w14:paraId="71CFA779" w14:textId="1A44087C" w:rsidR="00B0511F" w:rsidRDefault="00B0511F" w:rsidP="00353CD9">
      <w:r>
        <w:t xml:space="preserve">Referral form - </w:t>
      </w:r>
      <w:hyperlink r:id="rId12" w:history="1">
        <w:r w:rsidRPr="00B0511F">
          <w:rPr>
            <w:rStyle w:val="Hyperlink"/>
          </w:rPr>
          <w:t>Professionals-Request-for-Support-Tower-Hamlets.docx</w:t>
        </w:r>
      </w:hyperlink>
    </w:p>
    <w:p w14:paraId="109F0166" w14:textId="77777777" w:rsidR="00426178" w:rsidRPr="00C42AC2" w:rsidRDefault="00426178" w:rsidP="00C20B37">
      <w:pPr>
        <w:pStyle w:val="Heading4"/>
        <w:rPr>
          <w:u w:val="single"/>
        </w:rPr>
      </w:pPr>
      <w:r w:rsidRPr="00C42AC2">
        <w:rPr>
          <w:u w:val="single"/>
        </w:rPr>
        <w:t>5. Child Safeguarding LES and Reasonable Adjustments</w:t>
      </w:r>
    </w:p>
    <w:p w14:paraId="525FA6BA" w14:textId="77777777" w:rsidR="00426178" w:rsidRPr="00C42AC2" w:rsidRDefault="00426178" w:rsidP="00C20B37">
      <w:pPr>
        <w:pStyle w:val="Heading4"/>
        <w:rPr>
          <w:u w:val="single"/>
        </w:rPr>
      </w:pPr>
      <w:r w:rsidRPr="00C42AC2">
        <w:rPr>
          <w:u w:val="single"/>
        </w:rPr>
        <w:t>5.1 LES Submission Requirements</w:t>
      </w:r>
    </w:p>
    <w:p w14:paraId="7164CACC" w14:textId="77777777" w:rsidR="00426178" w:rsidRDefault="00426178" w:rsidP="00353CD9">
      <w:r w:rsidRPr="00426178">
        <w:t>Niza from the ICB outlined that practices must complete annual submissions, including self-assurance forms detailing MDT meetings, case numbers, attendee roles, and learning points. Practices are also required to submit the new online safeguarding self-assurance form.</w:t>
      </w:r>
    </w:p>
    <w:p w14:paraId="09472B73" w14:textId="77777777" w:rsidR="00426178" w:rsidRPr="00C42AC2" w:rsidRDefault="00426178" w:rsidP="00C20B37">
      <w:pPr>
        <w:pStyle w:val="Heading4"/>
        <w:rPr>
          <w:u w:val="single"/>
        </w:rPr>
      </w:pPr>
      <w:r w:rsidRPr="00C42AC2">
        <w:rPr>
          <w:u w:val="single"/>
        </w:rPr>
        <w:t>5.2 Training and Coding Guidance</w:t>
      </w:r>
    </w:p>
    <w:p w14:paraId="22BFE3E8" w14:textId="77777777" w:rsidR="00426178" w:rsidRDefault="00426178" w:rsidP="00353CD9">
      <w:r w:rsidRPr="00426178">
        <w:t>Niza encouraged attendance at twice-yearly safeguarding admin and leads training, which covers coding guidance. Links and specifications will be shared upon request.</w:t>
      </w:r>
    </w:p>
    <w:p w14:paraId="2646C7DA" w14:textId="77777777" w:rsidR="00426178" w:rsidRPr="00C42AC2" w:rsidRDefault="00426178" w:rsidP="00C20B37">
      <w:pPr>
        <w:pStyle w:val="Heading4"/>
        <w:rPr>
          <w:u w:val="single"/>
        </w:rPr>
      </w:pPr>
      <w:r w:rsidRPr="00C42AC2">
        <w:rPr>
          <w:u w:val="single"/>
        </w:rPr>
        <w:t>5.3 Reasonable Adjustment Flags</w:t>
      </w:r>
    </w:p>
    <w:p w14:paraId="2D6FD826" w14:textId="77777777" w:rsidR="00426178" w:rsidRDefault="00426178" w:rsidP="00353CD9">
      <w:r w:rsidRPr="00426178">
        <w:t xml:space="preserve">Practices should upload reasonable adjustment flags for patients up to age 25 opportunistically; proactive searching is not required. Training and leaflets are available. Helen shared a case where lack of reasonable adjustments led to poor outcomes for a </w:t>
      </w:r>
      <w:r w:rsidRPr="00426178">
        <w:lastRenderedPageBreak/>
        <w:t>teenager, highlighting the need to initiate digital flags for learning disabilities and communication needs.</w:t>
      </w:r>
    </w:p>
    <w:p w14:paraId="660ED086" w14:textId="77777777" w:rsidR="00426178" w:rsidRPr="00C42AC2" w:rsidRDefault="00426178" w:rsidP="00C20B37">
      <w:pPr>
        <w:pStyle w:val="Heading4"/>
        <w:rPr>
          <w:u w:val="single"/>
        </w:rPr>
      </w:pPr>
      <w:r w:rsidRPr="00C42AC2">
        <w:rPr>
          <w:u w:val="single"/>
        </w:rPr>
        <w:t>6. Education Fit Notes and Multidisciplinary Support</w:t>
      </w:r>
    </w:p>
    <w:p w14:paraId="422EC407" w14:textId="77777777" w:rsidR="00426178" w:rsidRPr="00C42AC2" w:rsidRDefault="00426178" w:rsidP="00C20B37">
      <w:pPr>
        <w:pStyle w:val="Heading4"/>
        <w:rPr>
          <w:u w:val="single"/>
        </w:rPr>
      </w:pPr>
      <w:r w:rsidRPr="00C42AC2">
        <w:rPr>
          <w:u w:val="single"/>
        </w:rPr>
        <w:t>6.1 Fit Note Guidance</w:t>
      </w:r>
    </w:p>
    <w:p w14:paraId="106439B1" w14:textId="4B88E496" w:rsidR="00426178" w:rsidRDefault="00426178" w:rsidP="00353CD9">
      <w:r w:rsidRPr="00426178">
        <w:t xml:space="preserve">Helen and Emma advised against issuing fit notes for school absence, as these are intended for DWP use. Instead, they recommended a multidisciplinary assessment and coordinated support. </w:t>
      </w:r>
      <w:r w:rsidR="00546A2B">
        <w:t xml:space="preserve">In practice referral to early help for these cases </w:t>
      </w:r>
      <w:r w:rsidR="00984E82">
        <w:t xml:space="preserve">is likely to be very beneficial in helping to </w:t>
      </w:r>
      <w:r w:rsidR="00DB27D6">
        <w:t xml:space="preserve">bring professionals together. </w:t>
      </w:r>
      <w:r w:rsidRPr="00426178">
        <w:t>Locum guidance and robust safeguarding handover were also stressed to avoid missed opportunities.</w:t>
      </w:r>
    </w:p>
    <w:p w14:paraId="197D6E2B" w14:textId="105E4252" w:rsidR="00460583" w:rsidRDefault="00DB27D6" w:rsidP="00353CD9">
      <w:r>
        <w:t xml:space="preserve">Request for a locum pack was requested. We are working with </w:t>
      </w:r>
      <w:r w:rsidR="00900E0A">
        <w:t xml:space="preserve">the NEL portal </w:t>
      </w:r>
      <w:r w:rsidR="00463083">
        <w:t xml:space="preserve">to </w:t>
      </w:r>
      <w:r w:rsidR="00705886">
        <w:t xml:space="preserve">collect suitable items into a folder that will be held on the NEL portal. </w:t>
      </w:r>
    </w:p>
    <w:p w14:paraId="51B15F27" w14:textId="77777777" w:rsidR="00426178" w:rsidRPr="00C42AC2" w:rsidRDefault="00426178" w:rsidP="00C20B37">
      <w:pPr>
        <w:pStyle w:val="Heading4"/>
        <w:rPr>
          <w:u w:val="single"/>
        </w:rPr>
      </w:pPr>
      <w:r w:rsidRPr="00C42AC2">
        <w:rPr>
          <w:u w:val="single"/>
        </w:rPr>
        <w:t>7. Adult Safeguarding Updates and Domestic Abuse Training</w:t>
      </w:r>
    </w:p>
    <w:p w14:paraId="06230677" w14:textId="77777777" w:rsidR="00426178" w:rsidRPr="00C42AC2" w:rsidRDefault="00426178" w:rsidP="00C20B37">
      <w:pPr>
        <w:pStyle w:val="Heading4"/>
        <w:rPr>
          <w:u w:val="single"/>
        </w:rPr>
      </w:pPr>
      <w:r w:rsidRPr="00C42AC2">
        <w:rPr>
          <w:u w:val="single"/>
        </w:rPr>
        <w:t>7.1 Domestic Homicide Reviews</w:t>
      </w:r>
    </w:p>
    <w:p w14:paraId="498D5DDF" w14:textId="77777777" w:rsidR="00426178" w:rsidRDefault="00426178" w:rsidP="00353CD9">
      <w:r w:rsidRPr="00426178">
        <w:t>Daniel R reported on several domestic homicides in the borough; learnings will be shared once reports are published. The safeguarding handbook will be updated to include routine inquiry for domestic abuse.</w:t>
      </w:r>
    </w:p>
    <w:p w14:paraId="6E8EBEA3" w14:textId="77777777" w:rsidR="00426178" w:rsidRPr="00C42AC2" w:rsidRDefault="00426178" w:rsidP="00C20B37">
      <w:pPr>
        <w:pStyle w:val="Heading4"/>
        <w:rPr>
          <w:u w:val="single"/>
        </w:rPr>
      </w:pPr>
      <w:r w:rsidRPr="00C42AC2">
        <w:rPr>
          <w:u w:val="single"/>
        </w:rPr>
        <w:t>7.2 Domestic Abuse Act Awareness</w:t>
      </w:r>
    </w:p>
    <w:p w14:paraId="0C2A7FB0" w14:textId="77777777" w:rsidR="00426178" w:rsidRDefault="00426178" w:rsidP="00353CD9">
      <w:r w:rsidRPr="00426178">
        <w:t>Staff are urged to familiarise themselves with the Domestic Abuse Act 2021, especially regarding coercive control, and cascade this information within their practices.</w:t>
      </w:r>
    </w:p>
    <w:p w14:paraId="53224795" w14:textId="77777777" w:rsidR="00426178" w:rsidRPr="00C42AC2" w:rsidRDefault="00426178" w:rsidP="00C20B37">
      <w:pPr>
        <w:pStyle w:val="Heading4"/>
        <w:rPr>
          <w:u w:val="single"/>
        </w:rPr>
      </w:pPr>
      <w:r w:rsidRPr="00C42AC2">
        <w:rPr>
          <w:u w:val="single"/>
        </w:rPr>
        <w:t>7.3 Face-to-Face Training Offer</w:t>
      </w:r>
    </w:p>
    <w:p w14:paraId="63E3C949" w14:textId="47BD68F4" w:rsidR="00426178" w:rsidRDefault="00426178" w:rsidP="00353CD9">
      <w:r w:rsidRPr="00426178">
        <w:t>A pilot for face-to-face domestic abuse training, delivered by Rahima through Sol</w:t>
      </w:r>
      <w:r w:rsidR="00761997">
        <w:t>ace</w:t>
      </w:r>
      <w:r w:rsidRPr="00426178">
        <w:t>, is available to all practices until March. Practices are encouraged to book sessions to meet Level 3 adult safeguarding requirements.</w:t>
      </w:r>
    </w:p>
    <w:p w14:paraId="688288ED" w14:textId="4EBABD19" w:rsidR="00EA2F0A" w:rsidRDefault="00EA2F0A" w:rsidP="00353CD9">
      <w:r w:rsidRPr="002525F3">
        <w:t xml:space="preserve">Contact her on </w:t>
      </w:r>
      <w:r w:rsidR="004712BA">
        <w:t>–</w:t>
      </w:r>
      <w:r w:rsidRPr="002525F3">
        <w:t xml:space="preserve"> </w:t>
      </w:r>
      <w:hyperlink r:id="rId13" w:history="1">
        <w:r w:rsidR="004712BA" w:rsidRPr="00C53762">
          <w:rPr>
            <w:rStyle w:val="Hyperlink"/>
          </w:rPr>
          <w:t>f.rahman@solacewomensaid.org</w:t>
        </w:r>
      </w:hyperlink>
      <w:r w:rsidR="004712BA">
        <w:t xml:space="preserve"> and please cc in </w:t>
      </w:r>
      <w:hyperlink r:id="rId14" w:history="1">
        <w:r w:rsidR="00353CD9" w:rsidRPr="00C53762">
          <w:rPr>
            <w:rStyle w:val="Hyperlink"/>
          </w:rPr>
          <w:t>p.appiah@solacewomensaid.org</w:t>
        </w:r>
      </w:hyperlink>
      <w:r w:rsidR="00353CD9">
        <w:t xml:space="preserve"> </w:t>
      </w:r>
    </w:p>
    <w:p w14:paraId="48B5070E" w14:textId="77777777" w:rsidR="00426178" w:rsidRPr="00C42AC2" w:rsidRDefault="00426178" w:rsidP="00C20B37">
      <w:pPr>
        <w:pStyle w:val="Heading4"/>
        <w:rPr>
          <w:u w:val="single"/>
        </w:rPr>
      </w:pPr>
      <w:r w:rsidRPr="00C42AC2">
        <w:rPr>
          <w:u w:val="single"/>
        </w:rPr>
        <w:t>8. Safeguarding Adults Reviews and DOLS Applications</w:t>
      </w:r>
    </w:p>
    <w:p w14:paraId="7051090B" w14:textId="77777777" w:rsidR="00426178" w:rsidRPr="00C42AC2" w:rsidRDefault="00426178" w:rsidP="00C20B37">
      <w:pPr>
        <w:pStyle w:val="Heading4"/>
        <w:rPr>
          <w:u w:val="single"/>
        </w:rPr>
      </w:pPr>
      <w:r w:rsidRPr="00C42AC2">
        <w:rPr>
          <w:u w:val="single"/>
        </w:rPr>
        <w:t>8.1 Reviews and Access Issues</w:t>
      </w:r>
    </w:p>
    <w:p w14:paraId="5C80F0C4" w14:textId="77777777" w:rsidR="00426178" w:rsidRDefault="00426178" w:rsidP="00353CD9">
      <w:r w:rsidRPr="00426178">
        <w:t>Daniel R discussed reviews involving hindered access and deaths under review panels. He clarified that for DOLS applications, practices only need to confirm a diagnosis of unsound mind (e.g., dementia); capacity assessment follows later.</w:t>
      </w:r>
    </w:p>
    <w:p w14:paraId="0CCA22C5" w14:textId="77777777" w:rsidR="00426178" w:rsidRPr="00C42AC2" w:rsidRDefault="00426178" w:rsidP="00C20B37">
      <w:pPr>
        <w:pStyle w:val="Heading4"/>
        <w:rPr>
          <w:u w:val="single"/>
        </w:rPr>
      </w:pPr>
      <w:r w:rsidRPr="00C42AC2">
        <w:rPr>
          <w:u w:val="single"/>
        </w:rPr>
        <w:t>8.2 Homeless Deaths Review Panels</w:t>
      </w:r>
    </w:p>
    <w:p w14:paraId="6F0F4EFC" w14:textId="77777777" w:rsidR="00426178" w:rsidRDefault="00426178" w:rsidP="00353CD9">
      <w:r w:rsidRPr="00426178">
        <w:t xml:space="preserve">Homeless deaths will now be reviewed by safeguarding </w:t>
      </w:r>
      <w:proofErr w:type="gramStart"/>
      <w:r w:rsidRPr="00426178">
        <w:t>adults</w:t>
      </w:r>
      <w:proofErr w:type="gramEnd"/>
      <w:r w:rsidRPr="00426178">
        <w:t xml:space="preserve"> panels, and practices may be asked to provide notes and participate in these reviews.</w:t>
      </w:r>
    </w:p>
    <w:p w14:paraId="37740876" w14:textId="77777777" w:rsidR="00426178" w:rsidRPr="00C42AC2" w:rsidRDefault="00426178" w:rsidP="00C20B37">
      <w:pPr>
        <w:pStyle w:val="Heading4"/>
        <w:rPr>
          <w:u w:val="single"/>
        </w:rPr>
      </w:pPr>
      <w:r w:rsidRPr="00C42AC2">
        <w:rPr>
          <w:u w:val="single"/>
        </w:rPr>
        <w:lastRenderedPageBreak/>
        <w:t>9. Practice Communication and Data Handling Issues</w:t>
      </w:r>
    </w:p>
    <w:p w14:paraId="4B947FEC" w14:textId="77777777" w:rsidR="00426178" w:rsidRPr="00C42AC2" w:rsidRDefault="00426178" w:rsidP="00C20B37">
      <w:pPr>
        <w:pStyle w:val="Heading4"/>
        <w:rPr>
          <w:u w:val="single"/>
        </w:rPr>
      </w:pPr>
      <w:r w:rsidRPr="00C42AC2">
        <w:rPr>
          <w:u w:val="single"/>
        </w:rPr>
        <w:t>9.1 Communication Protocols</w:t>
      </w:r>
    </w:p>
    <w:p w14:paraId="34EA901E" w14:textId="77777777" w:rsidR="00426178" w:rsidRDefault="00426178" w:rsidP="00353CD9">
      <w:r w:rsidRPr="00426178">
        <w:t>Emma and Helen addressed ongoing communication issues with social care, including potential use of SharePoint for report uploads, and stressed the importance of using generic practice email addresses for all safeguarding communications.</w:t>
      </w:r>
    </w:p>
    <w:p w14:paraId="3885560B" w14:textId="77777777" w:rsidR="00426178" w:rsidRPr="00C42AC2" w:rsidRDefault="00426178" w:rsidP="00C20B37">
      <w:pPr>
        <w:pStyle w:val="Heading4"/>
        <w:rPr>
          <w:u w:val="single"/>
        </w:rPr>
      </w:pPr>
      <w:r w:rsidRPr="00C42AC2">
        <w:rPr>
          <w:u w:val="single"/>
        </w:rPr>
        <w:t>10. Handling Non-Responsive Families and Deregistration</w:t>
      </w:r>
    </w:p>
    <w:p w14:paraId="23A3BFD5" w14:textId="77777777" w:rsidR="00426178" w:rsidRDefault="00426178" w:rsidP="00353CD9">
      <w:r w:rsidRPr="00426178">
        <w:t xml:space="preserve">For children under five who do not respond to invites, Emma and Helen advised against deregistration until all contact avenues have been exhausted and escalation to health visitors and safeguarding leads has occurred. Use email as an alternative contact </w:t>
      </w:r>
      <w:proofErr w:type="gramStart"/>
      <w:r w:rsidRPr="00426178">
        <w:t>method, and</w:t>
      </w:r>
      <w:proofErr w:type="gramEnd"/>
      <w:r w:rsidRPr="00426178">
        <w:t xml:space="preserve"> flag non-responsive families appropriately.</w:t>
      </w:r>
    </w:p>
    <w:p w14:paraId="4D261B59" w14:textId="77777777" w:rsidR="00426178" w:rsidRPr="00C42AC2" w:rsidRDefault="00426178" w:rsidP="00C20B37">
      <w:pPr>
        <w:pStyle w:val="Heading4"/>
        <w:rPr>
          <w:u w:val="single"/>
        </w:rPr>
      </w:pPr>
      <w:r w:rsidRPr="00C42AC2">
        <w:rPr>
          <w:u w:val="single"/>
        </w:rPr>
        <w:t>11. Knowledge Sharing and Practitioner Support</w:t>
      </w:r>
    </w:p>
    <w:p w14:paraId="2A2995D0" w14:textId="77777777" w:rsidR="00426178" w:rsidRDefault="00426178" w:rsidP="00353CD9">
      <w:r w:rsidRPr="00426178">
        <w:t>Emma and Helen discussed the potential for a Teams channel or knowledge base for practitioner queries, but currently, most queries are handled individually via email or chat. Suggestions for improved knowledge sharing are welcomed.</w:t>
      </w:r>
    </w:p>
    <w:p w14:paraId="532FE791" w14:textId="77777777" w:rsidR="00426178" w:rsidRPr="00C42AC2" w:rsidRDefault="00426178" w:rsidP="00C20B37">
      <w:pPr>
        <w:pStyle w:val="Heading4"/>
        <w:rPr>
          <w:u w:val="single"/>
        </w:rPr>
      </w:pPr>
      <w:r w:rsidRPr="00C42AC2">
        <w:rPr>
          <w:u w:val="single"/>
        </w:rPr>
        <w:t>12. Follow-Up Tasks</w:t>
      </w:r>
    </w:p>
    <w:p w14:paraId="4023CC13" w14:textId="0CCB4031" w:rsidR="00426178" w:rsidRDefault="00426178" w:rsidP="00353CD9">
      <w:r w:rsidRPr="00426178">
        <w:t xml:space="preserve">Nel Portal Resource Organisation: </w:t>
      </w:r>
      <w:r w:rsidR="00EC7D77">
        <w:t>We will be working with the NEL portal to update resources. C</w:t>
      </w:r>
      <w:r w:rsidRPr="00426178">
        <w:t xml:space="preserve">irculate the updated local handbook to all practices. </w:t>
      </w:r>
      <w:r w:rsidR="00EC7D77">
        <w:t>(Within these minutes)</w:t>
      </w:r>
    </w:p>
    <w:p w14:paraId="576C61BF" w14:textId="2A43978F" w:rsidR="00426178" w:rsidRDefault="00426178" w:rsidP="00353CD9">
      <w:r w:rsidRPr="00426178">
        <w:t xml:space="preserve">Reasonable Adjustment Training Resources: Share the reasonable adjustment training link in the chat and send relevant specifications to those who provide their emails. </w:t>
      </w:r>
      <w:r w:rsidR="00654C1E">
        <w:t xml:space="preserve">If you need to contact Niza regarding this she is on- </w:t>
      </w:r>
      <w:r w:rsidR="00654C1E" w:rsidRPr="00654C1E">
        <w:t>niza.ravi@nhs.net</w:t>
      </w:r>
    </w:p>
    <w:p w14:paraId="13343ACC" w14:textId="78F75C51" w:rsidR="00426178" w:rsidRDefault="00426178" w:rsidP="00353CD9">
      <w:r w:rsidRPr="00426178">
        <w:t>Domestic Abuse Training Offer: Share Rahima’s email in the chat and encourage practices to book face-to-face domestic abuse training before the end of March. (</w:t>
      </w:r>
      <w:r w:rsidR="00EA2F0A">
        <w:t>Shared above</w:t>
      </w:r>
      <w:r w:rsidRPr="00426178">
        <w:t>)</w:t>
      </w:r>
    </w:p>
    <w:p w14:paraId="7D08B728" w14:textId="4F947628" w:rsidR="00426178" w:rsidRDefault="00426178" w:rsidP="00353CD9">
      <w:r w:rsidRPr="00426178">
        <w:t xml:space="preserve">SharePoint Information Sharing: Notify Emma of any requests for sharing records via SharePoint for escalation and clarification with Children’s Social Care. </w:t>
      </w:r>
    </w:p>
    <w:p w14:paraId="0E9E7814" w14:textId="0D85C98E" w:rsidR="00426178" w:rsidRDefault="00426178" w:rsidP="00353CD9">
      <w:r w:rsidRPr="00426178">
        <w:t xml:space="preserve">Safeguarding Communication Escalation: Provide feedback to Helen and Emma if social worker communications are not sent to generic inboxes, to capture evidence for escalation. </w:t>
      </w:r>
    </w:p>
    <w:p w14:paraId="57235886" w14:textId="77777777" w:rsidR="00426178" w:rsidRPr="00C42AC2" w:rsidRDefault="00426178" w:rsidP="00C20B37">
      <w:pPr>
        <w:pStyle w:val="Heading4"/>
        <w:rPr>
          <w:u w:val="single"/>
        </w:rPr>
      </w:pPr>
      <w:r w:rsidRPr="00C42AC2">
        <w:rPr>
          <w:u w:val="single"/>
        </w:rPr>
        <w:t>13. Date of Next Meeting</w:t>
      </w:r>
    </w:p>
    <w:p w14:paraId="4AF6E017" w14:textId="3A62C620" w:rsidR="001749AD" w:rsidRPr="00426178" w:rsidRDefault="3C1DC298" w:rsidP="00426178">
      <w:r>
        <w:t>The next scheduled safeguarding update is in April 2026. Further details will be circulated in due course.</w:t>
      </w:r>
    </w:p>
    <w:sectPr w:rsidR="001749AD" w:rsidRPr="00426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3C1"/>
    <w:multiLevelType w:val="hybridMultilevel"/>
    <w:tmpl w:val="F25A2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E838F0"/>
    <w:multiLevelType w:val="hybridMultilevel"/>
    <w:tmpl w:val="01C6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A7CA65"/>
    <w:multiLevelType w:val="hybridMultilevel"/>
    <w:tmpl w:val="B1163290"/>
    <w:lvl w:ilvl="0" w:tplc="1C74DE4E">
      <w:start w:val="1"/>
      <w:numFmt w:val="bullet"/>
      <w:lvlText w:val=""/>
      <w:lvlJc w:val="left"/>
      <w:pPr>
        <w:ind w:left="720" w:hanging="360"/>
      </w:pPr>
      <w:rPr>
        <w:rFonts w:ascii="Symbol" w:hAnsi="Symbol" w:hint="default"/>
      </w:rPr>
    </w:lvl>
    <w:lvl w:ilvl="1" w:tplc="D370E6A0">
      <w:start w:val="1"/>
      <w:numFmt w:val="bullet"/>
      <w:lvlText w:val="o"/>
      <w:lvlJc w:val="left"/>
      <w:pPr>
        <w:ind w:left="1440" w:hanging="360"/>
      </w:pPr>
      <w:rPr>
        <w:rFonts w:ascii="Courier New" w:hAnsi="Courier New" w:hint="default"/>
      </w:rPr>
    </w:lvl>
    <w:lvl w:ilvl="2" w:tplc="3F66BC0E">
      <w:start w:val="1"/>
      <w:numFmt w:val="bullet"/>
      <w:lvlText w:val=""/>
      <w:lvlJc w:val="left"/>
      <w:pPr>
        <w:ind w:left="2160" w:hanging="360"/>
      </w:pPr>
      <w:rPr>
        <w:rFonts w:ascii="Wingdings" w:hAnsi="Wingdings" w:hint="default"/>
      </w:rPr>
    </w:lvl>
    <w:lvl w:ilvl="3" w:tplc="F04C49D6">
      <w:start w:val="1"/>
      <w:numFmt w:val="bullet"/>
      <w:lvlText w:val=""/>
      <w:lvlJc w:val="left"/>
      <w:pPr>
        <w:ind w:left="2880" w:hanging="360"/>
      </w:pPr>
      <w:rPr>
        <w:rFonts w:ascii="Symbol" w:hAnsi="Symbol" w:hint="default"/>
      </w:rPr>
    </w:lvl>
    <w:lvl w:ilvl="4" w:tplc="E8A817A0">
      <w:start w:val="1"/>
      <w:numFmt w:val="bullet"/>
      <w:lvlText w:val="o"/>
      <w:lvlJc w:val="left"/>
      <w:pPr>
        <w:ind w:left="3600" w:hanging="360"/>
      </w:pPr>
      <w:rPr>
        <w:rFonts w:ascii="Courier New" w:hAnsi="Courier New" w:hint="default"/>
      </w:rPr>
    </w:lvl>
    <w:lvl w:ilvl="5" w:tplc="CEA63ED0">
      <w:start w:val="1"/>
      <w:numFmt w:val="bullet"/>
      <w:lvlText w:val=""/>
      <w:lvlJc w:val="left"/>
      <w:pPr>
        <w:ind w:left="4320" w:hanging="360"/>
      </w:pPr>
      <w:rPr>
        <w:rFonts w:ascii="Wingdings" w:hAnsi="Wingdings" w:hint="default"/>
      </w:rPr>
    </w:lvl>
    <w:lvl w:ilvl="6" w:tplc="07D85672">
      <w:start w:val="1"/>
      <w:numFmt w:val="bullet"/>
      <w:lvlText w:val=""/>
      <w:lvlJc w:val="left"/>
      <w:pPr>
        <w:ind w:left="5040" w:hanging="360"/>
      </w:pPr>
      <w:rPr>
        <w:rFonts w:ascii="Symbol" w:hAnsi="Symbol" w:hint="default"/>
      </w:rPr>
    </w:lvl>
    <w:lvl w:ilvl="7" w:tplc="C354070E">
      <w:start w:val="1"/>
      <w:numFmt w:val="bullet"/>
      <w:lvlText w:val="o"/>
      <w:lvlJc w:val="left"/>
      <w:pPr>
        <w:ind w:left="5760" w:hanging="360"/>
      </w:pPr>
      <w:rPr>
        <w:rFonts w:ascii="Courier New" w:hAnsi="Courier New" w:hint="default"/>
      </w:rPr>
    </w:lvl>
    <w:lvl w:ilvl="8" w:tplc="015C7A4E">
      <w:start w:val="1"/>
      <w:numFmt w:val="bullet"/>
      <w:lvlText w:val=""/>
      <w:lvlJc w:val="left"/>
      <w:pPr>
        <w:ind w:left="6480" w:hanging="360"/>
      </w:pPr>
      <w:rPr>
        <w:rFonts w:ascii="Wingdings" w:hAnsi="Wingdings" w:hint="default"/>
      </w:rPr>
    </w:lvl>
  </w:abstractNum>
  <w:abstractNum w:abstractNumId="3" w15:restartNumberingAfterBreak="0">
    <w:nsid w:val="7B5D4621"/>
    <w:multiLevelType w:val="hybridMultilevel"/>
    <w:tmpl w:val="95BCD988"/>
    <w:lvl w:ilvl="0" w:tplc="D616AAAE">
      <w:start w:val="1"/>
      <w:numFmt w:val="bullet"/>
      <w:lvlText w:val=""/>
      <w:lvlJc w:val="left"/>
      <w:pPr>
        <w:ind w:left="720" w:hanging="360"/>
      </w:pPr>
      <w:rPr>
        <w:rFonts w:ascii="Symbol" w:hAnsi="Symbol" w:hint="default"/>
      </w:rPr>
    </w:lvl>
    <w:lvl w:ilvl="1" w:tplc="57364110">
      <w:start w:val="1"/>
      <w:numFmt w:val="bullet"/>
      <w:lvlText w:val="o"/>
      <w:lvlJc w:val="left"/>
      <w:pPr>
        <w:ind w:left="1440" w:hanging="360"/>
      </w:pPr>
      <w:rPr>
        <w:rFonts w:ascii="Courier New" w:hAnsi="Courier New" w:hint="default"/>
      </w:rPr>
    </w:lvl>
    <w:lvl w:ilvl="2" w:tplc="8BD62BE8">
      <w:start w:val="1"/>
      <w:numFmt w:val="bullet"/>
      <w:lvlText w:val=""/>
      <w:lvlJc w:val="left"/>
      <w:pPr>
        <w:ind w:left="2160" w:hanging="360"/>
      </w:pPr>
      <w:rPr>
        <w:rFonts w:ascii="Wingdings" w:hAnsi="Wingdings" w:hint="default"/>
      </w:rPr>
    </w:lvl>
    <w:lvl w:ilvl="3" w:tplc="DC821096">
      <w:start w:val="1"/>
      <w:numFmt w:val="bullet"/>
      <w:lvlText w:val=""/>
      <w:lvlJc w:val="left"/>
      <w:pPr>
        <w:ind w:left="2880" w:hanging="360"/>
      </w:pPr>
      <w:rPr>
        <w:rFonts w:ascii="Symbol" w:hAnsi="Symbol" w:hint="default"/>
      </w:rPr>
    </w:lvl>
    <w:lvl w:ilvl="4" w:tplc="952C4894">
      <w:start w:val="1"/>
      <w:numFmt w:val="bullet"/>
      <w:lvlText w:val="o"/>
      <w:lvlJc w:val="left"/>
      <w:pPr>
        <w:ind w:left="3600" w:hanging="360"/>
      </w:pPr>
      <w:rPr>
        <w:rFonts w:ascii="Courier New" w:hAnsi="Courier New" w:hint="default"/>
      </w:rPr>
    </w:lvl>
    <w:lvl w:ilvl="5" w:tplc="CB62F3EA">
      <w:start w:val="1"/>
      <w:numFmt w:val="bullet"/>
      <w:lvlText w:val=""/>
      <w:lvlJc w:val="left"/>
      <w:pPr>
        <w:ind w:left="4320" w:hanging="360"/>
      </w:pPr>
      <w:rPr>
        <w:rFonts w:ascii="Wingdings" w:hAnsi="Wingdings" w:hint="default"/>
      </w:rPr>
    </w:lvl>
    <w:lvl w:ilvl="6" w:tplc="138414A4">
      <w:start w:val="1"/>
      <w:numFmt w:val="bullet"/>
      <w:lvlText w:val=""/>
      <w:lvlJc w:val="left"/>
      <w:pPr>
        <w:ind w:left="5040" w:hanging="360"/>
      </w:pPr>
      <w:rPr>
        <w:rFonts w:ascii="Symbol" w:hAnsi="Symbol" w:hint="default"/>
      </w:rPr>
    </w:lvl>
    <w:lvl w:ilvl="7" w:tplc="2FF2A460">
      <w:start w:val="1"/>
      <w:numFmt w:val="bullet"/>
      <w:lvlText w:val="o"/>
      <w:lvlJc w:val="left"/>
      <w:pPr>
        <w:ind w:left="5760" w:hanging="360"/>
      </w:pPr>
      <w:rPr>
        <w:rFonts w:ascii="Courier New" w:hAnsi="Courier New" w:hint="default"/>
      </w:rPr>
    </w:lvl>
    <w:lvl w:ilvl="8" w:tplc="7972AD30">
      <w:start w:val="1"/>
      <w:numFmt w:val="bullet"/>
      <w:lvlText w:val=""/>
      <w:lvlJc w:val="left"/>
      <w:pPr>
        <w:ind w:left="6480" w:hanging="360"/>
      </w:pPr>
      <w:rPr>
        <w:rFonts w:ascii="Wingdings" w:hAnsi="Wingdings" w:hint="default"/>
      </w:rPr>
    </w:lvl>
  </w:abstractNum>
  <w:num w:numId="1" w16cid:durableId="1364555803">
    <w:abstractNumId w:val="2"/>
  </w:num>
  <w:num w:numId="2" w16cid:durableId="181673501">
    <w:abstractNumId w:val="3"/>
  </w:num>
  <w:num w:numId="3" w16cid:durableId="79185171">
    <w:abstractNumId w:val="1"/>
  </w:num>
  <w:num w:numId="4" w16cid:durableId="1826359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78"/>
    <w:rsid w:val="000176B0"/>
    <w:rsid w:val="000C3E49"/>
    <w:rsid w:val="000F5D91"/>
    <w:rsid w:val="00166397"/>
    <w:rsid w:val="001749AD"/>
    <w:rsid w:val="001D1AF8"/>
    <w:rsid w:val="002018A3"/>
    <w:rsid w:val="002525F3"/>
    <w:rsid w:val="00253CCC"/>
    <w:rsid w:val="00280B0F"/>
    <w:rsid w:val="002874E7"/>
    <w:rsid w:val="002A67D1"/>
    <w:rsid w:val="0032117F"/>
    <w:rsid w:val="00353CD9"/>
    <w:rsid w:val="003714C5"/>
    <w:rsid w:val="00424CA6"/>
    <w:rsid w:val="00426178"/>
    <w:rsid w:val="00460583"/>
    <w:rsid w:val="00463083"/>
    <w:rsid w:val="004712BA"/>
    <w:rsid w:val="00546A2B"/>
    <w:rsid w:val="005C57F1"/>
    <w:rsid w:val="00654C1E"/>
    <w:rsid w:val="006E6137"/>
    <w:rsid w:val="00705886"/>
    <w:rsid w:val="00761997"/>
    <w:rsid w:val="007C1B07"/>
    <w:rsid w:val="00832BE7"/>
    <w:rsid w:val="00870DF3"/>
    <w:rsid w:val="00900E0A"/>
    <w:rsid w:val="00951FD0"/>
    <w:rsid w:val="00984E82"/>
    <w:rsid w:val="00987737"/>
    <w:rsid w:val="00A72DB7"/>
    <w:rsid w:val="00B0511F"/>
    <w:rsid w:val="00C20B37"/>
    <w:rsid w:val="00C42AC2"/>
    <w:rsid w:val="00C668E8"/>
    <w:rsid w:val="00C815DA"/>
    <w:rsid w:val="00CF4BEA"/>
    <w:rsid w:val="00DB27D6"/>
    <w:rsid w:val="00E95527"/>
    <w:rsid w:val="00EA2F0A"/>
    <w:rsid w:val="00EC0B3F"/>
    <w:rsid w:val="00EC7D77"/>
    <w:rsid w:val="04D1EC1F"/>
    <w:rsid w:val="05EE1417"/>
    <w:rsid w:val="08B235BE"/>
    <w:rsid w:val="0C448B36"/>
    <w:rsid w:val="11CACF18"/>
    <w:rsid w:val="15D5F7FA"/>
    <w:rsid w:val="19D6D63A"/>
    <w:rsid w:val="2903387D"/>
    <w:rsid w:val="34717DD6"/>
    <w:rsid w:val="3C1DC298"/>
    <w:rsid w:val="3E7F9608"/>
    <w:rsid w:val="3F399646"/>
    <w:rsid w:val="48DA5D74"/>
    <w:rsid w:val="5586774F"/>
    <w:rsid w:val="63E0C400"/>
    <w:rsid w:val="6556B6F1"/>
    <w:rsid w:val="65696B04"/>
    <w:rsid w:val="6828F876"/>
    <w:rsid w:val="6924D6BA"/>
    <w:rsid w:val="6A89096A"/>
    <w:rsid w:val="6DC8E96D"/>
    <w:rsid w:val="6E1CF8A9"/>
    <w:rsid w:val="70A9825F"/>
    <w:rsid w:val="79BE113A"/>
    <w:rsid w:val="7CF53DE2"/>
    <w:rsid w:val="7FCAD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9C28"/>
  <w15:chartTrackingRefBased/>
  <w15:docId w15:val="{A9EA91F9-C852-4317-88E8-77EE2BC3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4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74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4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4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74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9AD"/>
    <w:rPr>
      <w:rFonts w:eastAsiaTheme="majorEastAsia" w:cstheme="majorBidi"/>
      <w:color w:val="272727" w:themeColor="text1" w:themeTint="D8"/>
    </w:rPr>
  </w:style>
  <w:style w:type="paragraph" w:styleId="Title">
    <w:name w:val="Title"/>
    <w:basedOn w:val="Normal"/>
    <w:next w:val="Normal"/>
    <w:link w:val="TitleChar"/>
    <w:uiPriority w:val="10"/>
    <w:qFormat/>
    <w:rsid w:val="0017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9AD"/>
    <w:pPr>
      <w:spacing w:before="160"/>
      <w:jc w:val="center"/>
    </w:pPr>
    <w:rPr>
      <w:i/>
      <w:iCs/>
      <w:color w:val="404040" w:themeColor="text1" w:themeTint="BF"/>
    </w:rPr>
  </w:style>
  <w:style w:type="character" w:customStyle="1" w:styleId="QuoteChar">
    <w:name w:val="Quote Char"/>
    <w:basedOn w:val="DefaultParagraphFont"/>
    <w:link w:val="Quote"/>
    <w:uiPriority w:val="29"/>
    <w:rsid w:val="001749AD"/>
    <w:rPr>
      <w:i/>
      <w:iCs/>
      <w:color w:val="404040" w:themeColor="text1" w:themeTint="BF"/>
    </w:rPr>
  </w:style>
  <w:style w:type="paragraph" w:styleId="ListParagraph">
    <w:name w:val="List Paragraph"/>
    <w:basedOn w:val="Normal"/>
    <w:uiPriority w:val="34"/>
    <w:qFormat/>
    <w:rsid w:val="001749AD"/>
    <w:pPr>
      <w:ind w:left="720"/>
      <w:contextualSpacing/>
    </w:pPr>
  </w:style>
  <w:style w:type="character" w:styleId="IntenseEmphasis">
    <w:name w:val="Intense Emphasis"/>
    <w:basedOn w:val="DefaultParagraphFont"/>
    <w:uiPriority w:val="21"/>
    <w:qFormat/>
    <w:rsid w:val="001749AD"/>
    <w:rPr>
      <w:i/>
      <w:iCs/>
      <w:color w:val="0F4761" w:themeColor="accent1" w:themeShade="BF"/>
    </w:rPr>
  </w:style>
  <w:style w:type="paragraph" w:styleId="IntenseQuote">
    <w:name w:val="Intense Quote"/>
    <w:basedOn w:val="Normal"/>
    <w:next w:val="Normal"/>
    <w:link w:val="IntenseQuoteChar"/>
    <w:uiPriority w:val="30"/>
    <w:qFormat/>
    <w:rsid w:val="0017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9AD"/>
    <w:rPr>
      <w:i/>
      <w:iCs/>
      <w:color w:val="0F4761" w:themeColor="accent1" w:themeShade="BF"/>
    </w:rPr>
  </w:style>
  <w:style w:type="character" w:styleId="IntenseReference">
    <w:name w:val="Intense Reference"/>
    <w:basedOn w:val="DefaultParagraphFont"/>
    <w:uiPriority w:val="32"/>
    <w:qFormat/>
    <w:rsid w:val="001749AD"/>
    <w:rPr>
      <w:b/>
      <w:bCs/>
      <w:smallCaps/>
      <w:color w:val="0F4761" w:themeColor="accent1" w:themeShade="BF"/>
      <w:spacing w:val="5"/>
    </w:rPr>
  </w:style>
  <w:style w:type="paragraph" w:styleId="NormalWeb">
    <w:name w:val="Normal (Web)"/>
    <w:basedOn w:val="Normal"/>
    <w:uiPriority w:val="99"/>
    <w:semiHidden/>
    <w:unhideWhenUsed/>
    <w:rsid w:val="00E95527"/>
    <w:rPr>
      <w:rFonts w:ascii="Times New Roman" w:hAnsi="Times New Roman" w:cs="Times New Roman"/>
    </w:rPr>
  </w:style>
  <w:style w:type="character" w:styleId="Hyperlink">
    <w:name w:val="Hyperlink"/>
    <w:basedOn w:val="DefaultParagraphFont"/>
    <w:uiPriority w:val="99"/>
    <w:unhideWhenUsed/>
    <w:rsid w:val="00E95527"/>
    <w:rPr>
      <w:color w:val="467886" w:themeColor="hyperlink"/>
      <w:u w:val="single"/>
    </w:rPr>
  </w:style>
  <w:style w:type="character" w:styleId="UnresolvedMention">
    <w:name w:val="Unresolved Mention"/>
    <w:basedOn w:val="DefaultParagraphFont"/>
    <w:uiPriority w:val="99"/>
    <w:semiHidden/>
    <w:unhideWhenUsed/>
    <w:rsid w:val="00E95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_vAnFnhTtU" TargetMode="External"/><Relationship Id="rId13" Type="http://schemas.openxmlformats.org/officeDocument/2006/relationships/hyperlink" Target="mailto:f.rahman@solacewomensaid.org" TargetMode="External"/><Relationship Id="rId3" Type="http://schemas.openxmlformats.org/officeDocument/2006/relationships/settings" Target="settings.xml"/><Relationship Id="rId7" Type="http://schemas.openxmlformats.org/officeDocument/2006/relationships/hyperlink" Target="https://thehub-beta.walthamforest.gov.uk/sites/default/files/2021-01/Safeguarding_Adolescents_A_Practice_Guide_2020_FINAL.pdf" TargetMode="External"/><Relationship Id="rId12" Type="http://schemas.openxmlformats.org/officeDocument/2006/relationships/hyperlink" Target="https://view.officeapps.live.com/op/view.aspx?src=https%3A%2F%2Fcompass-uk.org%2Fwp-content%2Fuploads%2F2025%2F08%2FProfessionals-Request-for-Support-Tower-Hamlets.docx&amp;wdOrigin=BROWSELI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imarycare.northeastlondon.icb.nhs.uk/wp-content/uploads/2024/07/NHS_NEL-GP-SG-handbook-June-2024-v106.pdf" TargetMode="External"/><Relationship Id="rId11" Type="http://schemas.openxmlformats.org/officeDocument/2006/relationships/hyperlink" Target="mailto:compass.towerhamletsyphws@nhs.net" TargetMode="External"/><Relationship Id="rId5" Type="http://schemas.openxmlformats.org/officeDocument/2006/relationships/hyperlink" Target="https://elearning.rcgp.org.uk/mod/book/view.php?id=15290" TargetMode="External"/><Relationship Id="rId15" Type="http://schemas.openxmlformats.org/officeDocument/2006/relationships/fontTable" Target="fontTable.xml"/><Relationship Id="rId10" Type="http://schemas.openxmlformats.org/officeDocument/2006/relationships/hyperlink" Target="https://compass-uk.org/services/children-and-young-peoples-health-and-wellbeing-service/" TargetMode="External"/><Relationship Id="rId4" Type="http://schemas.openxmlformats.org/officeDocument/2006/relationships/webSettings" Target="webSettings.xml"/><Relationship Id="rId9" Type="http://schemas.openxmlformats.org/officeDocument/2006/relationships/hyperlink" Target="https://thscp.org.uk/wp-content/uploads/2025/08/7-minute-briefing-LCSPR-Ibrahim-Yusuf.pdf" TargetMode="External"/><Relationship Id="rId14" Type="http://schemas.openxmlformats.org/officeDocument/2006/relationships/hyperlink" Target="mailto:p.appiah@solacewomensa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Tukmachi</dc:creator>
  <cp:keywords/>
  <dc:description/>
  <cp:lastModifiedBy>Emma Tukmachi</cp:lastModifiedBy>
  <cp:revision>2</cp:revision>
  <dcterms:created xsi:type="dcterms:W3CDTF">2025-11-25T13:52:00Z</dcterms:created>
  <dcterms:modified xsi:type="dcterms:W3CDTF">2025-11-25T13:52:00Z</dcterms:modified>
</cp:coreProperties>
</file>