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9691" w14:textId="1BD05EFB" w:rsidR="00B56EAB" w:rsidRPr="00B56EAB" w:rsidRDefault="00B56EAB" w:rsidP="00B56EAB">
      <w:pPr>
        <w:pStyle w:val="Heading1"/>
        <w:rPr>
          <w:rFonts w:eastAsia="Times New Roman"/>
          <w:lang w:eastAsia="en-GB"/>
        </w:rPr>
      </w:pPr>
      <w:r w:rsidRPr="00B56EAB">
        <w:rPr>
          <w:rFonts w:eastAsia="Times New Roman"/>
          <w:lang w:eastAsia="en-GB"/>
        </w:rPr>
        <w:t xml:space="preserve">Minutes: SG Leads Meeting – Newham </w:t>
      </w:r>
      <w:r>
        <w:rPr>
          <w:lang w:eastAsia="en-GB"/>
        </w:rPr>
        <w:t>19/11/2025</w:t>
      </w:r>
    </w:p>
    <w:p w14:paraId="0A1AA5CF" w14:textId="77777777" w:rsidR="00B56EAB" w:rsidRPr="00B56EAB" w:rsidRDefault="00B56EAB" w:rsidP="00374380">
      <w:pPr>
        <w:pStyle w:val="IntenseQuote"/>
        <w:rPr>
          <w:rStyle w:val="IntenseEmphasis"/>
        </w:rPr>
      </w:pPr>
      <w:r w:rsidRPr="00B56EAB">
        <w:rPr>
          <w:rStyle w:val="IntenseEmphasis"/>
        </w:rPr>
        <w:t>1. Opening &amp; Introductions</w:t>
      </w:r>
    </w:p>
    <w:p w14:paraId="3B57B3DE" w14:textId="5E339C34" w:rsidR="00B56EAB" w:rsidRPr="00B56EAB" w:rsidRDefault="00B56EAB" w:rsidP="00B56EAB">
      <w:pPr>
        <w:rPr>
          <w:rFonts w:asciiTheme="majorHAnsi" w:hAnsiTheme="majorHAnsi"/>
          <w:kern w:val="0"/>
          <w:lang w:eastAsia="en-GB"/>
        </w:rPr>
      </w:pPr>
      <w:r w:rsidRPr="00B56EAB">
        <w:rPr>
          <w:rFonts w:asciiTheme="majorHAnsi" w:hAnsiTheme="majorHAnsi"/>
          <w:kern w:val="0"/>
          <w:lang w:eastAsia="en-GB"/>
        </w:rPr>
        <w:t xml:space="preserve">Emma Tukmachi introduced herself as the Named GP for Safeguarding Children in </w:t>
      </w:r>
      <w:proofErr w:type="gramStart"/>
      <w:r w:rsidRPr="00B56EAB">
        <w:rPr>
          <w:rFonts w:asciiTheme="majorHAnsi" w:hAnsiTheme="majorHAnsi"/>
          <w:kern w:val="0"/>
          <w:lang w:eastAsia="en-GB"/>
        </w:rPr>
        <w:t>North East</w:t>
      </w:r>
      <w:proofErr w:type="gramEnd"/>
      <w:r w:rsidRPr="00B56EAB">
        <w:rPr>
          <w:rFonts w:asciiTheme="majorHAnsi" w:hAnsiTheme="majorHAnsi"/>
          <w:kern w:val="0"/>
          <w:lang w:eastAsia="en-GB"/>
        </w:rPr>
        <w:t xml:space="preserve"> London and Newham</w:t>
      </w:r>
      <w:r>
        <w:rPr>
          <w:rFonts w:asciiTheme="majorHAnsi" w:hAnsiTheme="majorHAnsi"/>
          <w:kern w:val="0"/>
          <w:lang w:eastAsia="en-GB"/>
        </w:rPr>
        <w:t xml:space="preserve"> – contact me on emmatukmachi@nhs.net</w:t>
      </w:r>
    </w:p>
    <w:p w14:paraId="2E9C11EF" w14:textId="7CFC5DC4" w:rsidR="00B56EAB" w:rsidRPr="00B56EAB" w:rsidRDefault="00B56EAB" w:rsidP="00B56EAB">
      <w:pPr>
        <w:rPr>
          <w:rFonts w:asciiTheme="majorHAnsi" w:hAnsiTheme="majorHAnsi"/>
          <w:kern w:val="0"/>
          <w:lang w:eastAsia="en-GB"/>
        </w:rPr>
      </w:pPr>
      <w:r w:rsidRPr="00B56EAB">
        <w:rPr>
          <w:rFonts w:asciiTheme="majorHAnsi" w:hAnsiTheme="majorHAnsi"/>
          <w:kern w:val="0"/>
          <w:lang w:eastAsia="en-GB"/>
        </w:rPr>
        <w:t xml:space="preserve">Noted uncertainty about the continuation of the Named GP role due to ICB-level cuts, emphasizing the importance of maintaining the role for strategic representation and support. </w:t>
      </w:r>
    </w:p>
    <w:p w14:paraId="3468BFD6" w14:textId="77777777" w:rsidR="00B56EAB" w:rsidRPr="00B56EAB" w:rsidRDefault="00B56EAB" w:rsidP="00374380">
      <w:pPr>
        <w:pStyle w:val="IntenseQuote"/>
        <w:rPr>
          <w:rStyle w:val="IntenseEmphasis"/>
        </w:rPr>
      </w:pPr>
      <w:r w:rsidRPr="00B56EAB">
        <w:rPr>
          <w:rStyle w:val="IntenseEmphasis"/>
        </w:rPr>
        <w:t>2. Safeguarding Resources &amp; Updates</w:t>
      </w:r>
    </w:p>
    <w:p w14:paraId="31944F8E" w14:textId="15EAF7AD" w:rsidR="00B56EAB" w:rsidRPr="00B56EAB" w:rsidRDefault="00B56EAB" w:rsidP="00B56EAB">
      <w:pPr>
        <w:rPr>
          <w:rFonts w:asciiTheme="majorHAnsi" w:hAnsiTheme="majorHAnsi"/>
          <w:kern w:val="0"/>
          <w:lang w:eastAsia="en-GB"/>
        </w:rPr>
      </w:pPr>
      <w:r w:rsidRPr="00B56EAB">
        <w:rPr>
          <w:rFonts w:asciiTheme="majorHAnsi" w:hAnsiTheme="majorHAnsi"/>
          <w:kern w:val="0"/>
          <w:lang w:eastAsia="en-GB"/>
        </w:rPr>
        <w:t>Resources are being organi</w:t>
      </w:r>
      <w:r>
        <w:rPr>
          <w:rFonts w:asciiTheme="majorHAnsi" w:hAnsiTheme="majorHAnsi"/>
          <w:kern w:val="0"/>
          <w:lang w:eastAsia="en-GB"/>
        </w:rPr>
        <w:t>s</w:t>
      </w:r>
      <w:r w:rsidRPr="00B56EAB">
        <w:rPr>
          <w:rFonts w:asciiTheme="majorHAnsi" w:hAnsiTheme="majorHAnsi"/>
          <w:kern w:val="0"/>
          <w:lang w:eastAsia="en-GB"/>
        </w:rPr>
        <w:t>ed on the NEL portal, with ongoing work to make them more accessible for Newham.</w:t>
      </w:r>
    </w:p>
    <w:p w14:paraId="21BCDA1F" w14:textId="77777777" w:rsidR="00B56EAB" w:rsidRDefault="00B56EAB" w:rsidP="00B56EAB">
      <w:pPr>
        <w:rPr>
          <w:rFonts w:asciiTheme="majorHAnsi" w:hAnsiTheme="majorHAnsi"/>
          <w:kern w:val="0"/>
          <w:lang w:eastAsia="en-GB"/>
        </w:rPr>
      </w:pPr>
      <w:r w:rsidRPr="00B56EAB">
        <w:rPr>
          <w:rFonts w:asciiTheme="majorHAnsi" w:hAnsiTheme="majorHAnsi"/>
          <w:kern w:val="0"/>
          <w:lang w:eastAsia="en-GB"/>
        </w:rPr>
        <w:t>The RCGP safeguarding toolkit was updated in October last year, including new e-learning modules (notably on child sexual abuse and family conversations).</w:t>
      </w:r>
    </w:p>
    <w:p w14:paraId="28721A3C" w14:textId="1CB8052C" w:rsidR="00B56EAB" w:rsidRDefault="00B56EAB" w:rsidP="00B56EAB">
      <w:hyperlink r:id="rId5" w:tgtFrame="_blank" w:history="1">
        <w:r w:rsidRPr="000C3E49">
          <w:rPr>
            <w:rStyle w:val="Hyperlink"/>
          </w:rPr>
          <w:t>RCGP Safeguarding toolkit: Introduction | RCGP Learning</w:t>
        </w:r>
      </w:hyperlink>
    </w:p>
    <w:p w14:paraId="3C654A63" w14:textId="61165B09" w:rsidR="00B56EAB" w:rsidRPr="000C3E49" w:rsidRDefault="00B56EAB" w:rsidP="00B56EAB">
      <w:r>
        <w:t xml:space="preserve">This is the new NEL safeguarding Handbook - </w:t>
      </w:r>
      <w:hyperlink r:id="rId6" w:tgtFrame="_blank" w:history="1">
        <w:r w:rsidRPr="000C3E49">
          <w:rPr>
            <w:rStyle w:val="Hyperlink"/>
          </w:rPr>
          <w:t>BHR GP SAFEGUARDING HANDBOOK 2021</w:t>
        </w:r>
      </w:hyperlink>
    </w:p>
    <w:p w14:paraId="14E38299" w14:textId="4689EF16" w:rsidR="00B56EAB" w:rsidRPr="000C3E49" w:rsidRDefault="00B56EAB" w:rsidP="00B56EAB">
      <w:r>
        <w:t xml:space="preserve">Want to know more about adolescent health – have a look at this </w:t>
      </w:r>
      <w:r w:rsidR="00374380">
        <w:t>great</w:t>
      </w:r>
      <w:r>
        <w:t xml:space="preserve"> resource from BHR. </w:t>
      </w:r>
      <w:hyperlink r:id="rId7" w:tgtFrame="_blank" w:history="1">
        <w:r w:rsidRPr="000C3E49">
          <w:rPr>
            <w:rStyle w:val="Hyperlink"/>
          </w:rPr>
          <w:t>Safeguarding_Adolescents_A_Practice_Guide_2020_FINAL.pdf</w:t>
        </w:r>
      </w:hyperlink>
    </w:p>
    <w:p w14:paraId="6508A170" w14:textId="6CF95C0F" w:rsidR="00B56EAB" w:rsidRPr="00B56EAB" w:rsidRDefault="00B56EAB" w:rsidP="00B56EAB">
      <w:pPr>
        <w:rPr>
          <w:rFonts w:asciiTheme="majorHAnsi" w:hAnsiTheme="majorHAnsi"/>
          <w:kern w:val="0"/>
          <w:lang w:eastAsia="en-GB"/>
        </w:rPr>
      </w:pPr>
      <w:r>
        <w:rPr>
          <w:rFonts w:asciiTheme="majorHAnsi" w:hAnsiTheme="majorHAnsi"/>
          <w:kern w:val="0"/>
          <w:lang w:eastAsia="en-GB"/>
        </w:rPr>
        <w:t xml:space="preserve">Safeguarding leads </w:t>
      </w:r>
      <w:r w:rsidRPr="00B56EAB">
        <w:rPr>
          <w:rFonts w:asciiTheme="majorHAnsi" w:hAnsiTheme="majorHAnsi"/>
          <w:kern w:val="0"/>
          <w:lang w:eastAsia="en-GB"/>
        </w:rPr>
        <w:t xml:space="preserve">are encouraged to review and share these resources with GP colleagues. </w:t>
      </w:r>
    </w:p>
    <w:p w14:paraId="17263F26" w14:textId="77777777" w:rsidR="00B56EAB" w:rsidRPr="00B56EAB" w:rsidRDefault="00B56EAB" w:rsidP="00B56EAB">
      <w:pPr>
        <w:rPr>
          <w:rStyle w:val="IntenseEmphasis"/>
        </w:rPr>
      </w:pPr>
      <w:r w:rsidRPr="00B56EAB">
        <w:rPr>
          <w:rStyle w:val="IntenseEmphasis"/>
        </w:rPr>
        <w:t>3. Training &amp; Induction</w:t>
      </w:r>
    </w:p>
    <w:p w14:paraId="31515924" w14:textId="77777777" w:rsidR="00B56EAB" w:rsidRPr="00B56EAB" w:rsidRDefault="00B56EAB" w:rsidP="00B56EAB">
      <w:pPr>
        <w:rPr>
          <w:rFonts w:asciiTheme="majorHAnsi" w:hAnsiTheme="majorHAnsi"/>
          <w:kern w:val="0"/>
          <w:lang w:eastAsia="en-GB"/>
        </w:rPr>
      </w:pPr>
      <w:r w:rsidRPr="00B56EAB">
        <w:rPr>
          <w:rFonts w:asciiTheme="majorHAnsi" w:hAnsiTheme="majorHAnsi"/>
          <w:kern w:val="0"/>
          <w:lang w:eastAsia="en-GB"/>
        </w:rPr>
        <w:t>Annual safeguarding training is now required for GPs and relevant staff (previously every three years).</w:t>
      </w:r>
    </w:p>
    <w:p w14:paraId="18D586BC" w14:textId="4A4E5225" w:rsidR="00B56EAB" w:rsidRPr="00B56EAB" w:rsidRDefault="00B56EAB" w:rsidP="00B56EAB">
      <w:pPr>
        <w:rPr>
          <w:rFonts w:asciiTheme="majorHAnsi" w:hAnsiTheme="majorHAnsi"/>
          <w:kern w:val="0"/>
          <w:lang w:eastAsia="en-GB"/>
        </w:rPr>
      </w:pPr>
      <w:r w:rsidRPr="00B56EAB">
        <w:rPr>
          <w:rFonts w:asciiTheme="majorHAnsi" w:hAnsiTheme="majorHAnsi"/>
          <w:kern w:val="0"/>
          <w:lang w:eastAsia="en-GB"/>
        </w:rPr>
        <w:t>Induction for all Level 3 staff (GPs, nurses, physician associates) must include clear referral pathways and safeguarding structures.</w:t>
      </w:r>
      <w:r>
        <w:rPr>
          <w:rFonts w:asciiTheme="majorHAnsi" w:hAnsiTheme="majorHAnsi"/>
          <w:kern w:val="0"/>
          <w:lang w:eastAsia="en-GB"/>
        </w:rPr>
        <w:t xml:space="preserve"> Discussion on what this should look like – having a robust induction pack which includes safeguarding pathways and procedures with a follow up meeting with the SG lead should meet expectations. </w:t>
      </w:r>
    </w:p>
    <w:p w14:paraId="529E86CE" w14:textId="30EE2556" w:rsidR="00B56EAB" w:rsidRPr="00B56EAB" w:rsidRDefault="00B56EAB" w:rsidP="00B56EAB">
      <w:pPr>
        <w:rPr>
          <w:rFonts w:asciiTheme="majorHAnsi" w:hAnsiTheme="majorHAnsi"/>
          <w:kern w:val="0"/>
          <w:lang w:eastAsia="en-GB"/>
        </w:rPr>
      </w:pPr>
      <w:r w:rsidRPr="00B56EAB">
        <w:rPr>
          <w:rFonts w:asciiTheme="majorHAnsi" w:hAnsiTheme="majorHAnsi"/>
          <w:kern w:val="0"/>
          <w:lang w:eastAsia="en-GB"/>
        </w:rPr>
        <w:t>Online training modules are available via RCGP and e-Learning for Health</w:t>
      </w:r>
      <w:r>
        <w:rPr>
          <w:rFonts w:asciiTheme="majorHAnsi" w:hAnsiTheme="majorHAnsi"/>
          <w:kern w:val="0"/>
          <w:lang w:eastAsia="en-GB"/>
        </w:rPr>
        <w:t xml:space="preserve"> / blue stream learning. </w:t>
      </w:r>
    </w:p>
    <w:p w14:paraId="26A662A1" w14:textId="1CC3AD4E" w:rsidR="00B56EAB" w:rsidRDefault="00B56EAB" w:rsidP="00B56EAB">
      <w:pPr>
        <w:rPr>
          <w:rFonts w:asciiTheme="majorHAnsi" w:hAnsiTheme="majorHAnsi"/>
          <w:kern w:val="0"/>
          <w:lang w:eastAsia="en-GB"/>
        </w:rPr>
      </w:pPr>
      <w:r w:rsidRPr="00B56EAB">
        <w:rPr>
          <w:rFonts w:asciiTheme="majorHAnsi" w:hAnsiTheme="majorHAnsi"/>
          <w:kern w:val="0"/>
          <w:lang w:eastAsia="en-GB"/>
        </w:rPr>
        <w:t>Attendance at local safeguarding forums and reflective practice is expected</w:t>
      </w:r>
    </w:p>
    <w:p w14:paraId="31048A03" w14:textId="51C2B560" w:rsidR="00B56EAB" w:rsidRDefault="00B56EAB" w:rsidP="00B56EAB">
      <w:pPr>
        <w:rPr>
          <w:rFonts w:asciiTheme="majorHAnsi" w:hAnsiTheme="majorHAnsi"/>
          <w:kern w:val="0"/>
          <w:lang w:eastAsia="en-GB"/>
        </w:rPr>
      </w:pPr>
      <w:r>
        <w:rPr>
          <w:rFonts w:asciiTheme="majorHAnsi" w:hAnsiTheme="majorHAnsi"/>
          <w:kern w:val="0"/>
          <w:lang w:eastAsia="en-GB"/>
        </w:rPr>
        <w:lastRenderedPageBreak/>
        <w:t xml:space="preserve">New RCGP reflective practice document - </w:t>
      </w:r>
      <w:hyperlink r:id="rId8" w:history="1">
        <w:r w:rsidRPr="00B56EAB">
          <w:rPr>
            <w:rStyle w:val="Hyperlink"/>
            <w:rFonts w:asciiTheme="majorHAnsi" w:hAnsiTheme="majorHAnsi"/>
            <w:kern w:val="0"/>
            <w:lang w:eastAsia="en-GB"/>
          </w:rPr>
          <w:t>Safeguarding Reflective Practice - Structured Template 1.docx</w:t>
        </w:r>
      </w:hyperlink>
    </w:p>
    <w:p w14:paraId="6982830C" w14:textId="43163191" w:rsidR="00B56EAB" w:rsidRPr="00B56EAB" w:rsidRDefault="00B56EAB" w:rsidP="00B56EAB">
      <w:pPr>
        <w:rPr>
          <w:rFonts w:asciiTheme="majorHAnsi" w:hAnsiTheme="majorHAnsi"/>
          <w:kern w:val="0"/>
          <w:lang w:eastAsia="en-GB"/>
        </w:rPr>
      </w:pPr>
      <w:r>
        <w:rPr>
          <w:rFonts w:asciiTheme="majorHAnsi" w:hAnsiTheme="majorHAnsi"/>
          <w:kern w:val="0"/>
          <w:lang w:eastAsia="en-GB"/>
        </w:rPr>
        <w:t xml:space="preserve">RCGP safeguarding case review template - </w:t>
      </w:r>
      <w:hyperlink r:id="rId9" w:history="1">
        <w:r w:rsidRPr="00B56EAB">
          <w:rPr>
            <w:rStyle w:val="Hyperlink"/>
            <w:rFonts w:asciiTheme="majorHAnsi" w:hAnsiTheme="majorHAnsi"/>
            <w:kern w:val="0"/>
            <w:lang w:eastAsia="en-GB"/>
          </w:rPr>
          <w:t>Safeguarding Case Review - Structured Template 1.docx</w:t>
        </w:r>
      </w:hyperlink>
    </w:p>
    <w:p w14:paraId="58229380" w14:textId="77777777" w:rsidR="00B56EAB" w:rsidRPr="00374380" w:rsidRDefault="00B56EAB" w:rsidP="00374380">
      <w:pPr>
        <w:pStyle w:val="IntenseQuote"/>
        <w:rPr>
          <w:rStyle w:val="IntenseEmphasis"/>
        </w:rPr>
      </w:pPr>
      <w:r w:rsidRPr="00374380">
        <w:rPr>
          <w:rStyle w:val="IntenseEmphasis"/>
        </w:rPr>
        <w:t>4. Safeguarding Practice &amp; Policy</w:t>
      </w:r>
    </w:p>
    <w:p w14:paraId="41818D9C" w14:textId="77777777" w:rsidR="00B56EAB" w:rsidRPr="00B56EAB" w:rsidRDefault="00B56EAB" w:rsidP="00B56EAB">
      <w:pPr>
        <w:rPr>
          <w:rFonts w:asciiTheme="majorHAnsi" w:hAnsiTheme="majorHAnsi"/>
          <w:kern w:val="0"/>
          <w:lang w:eastAsia="en-GB"/>
        </w:rPr>
      </w:pPr>
      <w:r w:rsidRPr="00B56EAB">
        <w:rPr>
          <w:rFonts w:asciiTheme="majorHAnsi" w:hAnsiTheme="majorHAnsi"/>
          <w:kern w:val="0"/>
          <w:lang w:eastAsia="en-GB"/>
        </w:rPr>
        <w:t>Locum packs should include key safeguarding documents for easy access.</w:t>
      </w:r>
    </w:p>
    <w:p w14:paraId="22227A08" w14:textId="77777777" w:rsidR="00B56EAB" w:rsidRPr="00B56EAB" w:rsidRDefault="00B56EAB" w:rsidP="00B56EAB">
      <w:pPr>
        <w:rPr>
          <w:rFonts w:asciiTheme="majorHAnsi" w:hAnsiTheme="majorHAnsi"/>
          <w:kern w:val="0"/>
          <w:lang w:eastAsia="en-GB"/>
        </w:rPr>
      </w:pPr>
      <w:r w:rsidRPr="00B56EAB">
        <w:rPr>
          <w:rFonts w:asciiTheme="majorHAnsi" w:hAnsiTheme="majorHAnsi"/>
          <w:kern w:val="0"/>
          <w:lang w:eastAsia="en-GB"/>
        </w:rPr>
        <w:t>GP safeguarding leads do not require Level 4 training (contrary to some CQC reports); Level 3 is sufficient.</w:t>
      </w:r>
    </w:p>
    <w:p w14:paraId="1FB04F03" w14:textId="136FE500" w:rsidR="00B56EAB" w:rsidRPr="00B56EAB" w:rsidRDefault="00B56EAB" w:rsidP="00B56EAB">
      <w:pPr>
        <w:rPr>
          <w:rFonts w:asciiTheme="majorHAnsi" w:hAnsiTheme="majorHAnsi"/>
          <w:kern w:val="0"/>
          <w:lang w:eastAsia="en-GB"/>
        </w:rPr>
      </w:pPr>
      <w:r w:rsidRPr="00B56EAB">
        <w:rPr>
          <w:rFonts w:asciiTheme="majorHAnsi" w:hAnsiTheme="majorHAnsi"/>
          <w:kern w:val="0"/>
          <w:lang w:eastAsia="en-GB"/>
        </w:rPr>
        <w:t xml:space="preserve">Escalation policies and safeguarding contacts for children </w:t>
      </w:r>
      <w:r w:rsidR="00374380">
        <w:rPr>
          <w:rFonts w:asciiTheme="majorHAnsi" w:hAnsiTheme="majorHAnsi"/>
          <w:kern w:val="0"/>
          <w:lang w:eastAsia="en-GB"/>
        </w:rPr>
        <w:t xml:space="preserve">are attached to this </w:t>
      </w:r>
      <w:proofErr w:type="gramStart"/>
      <w:r w:rsidR="00374380">
        <w:rPr>
          <w:rFonts w:asciiTheme="majorHAnsi" w:hAnsiTheme="majorHAnsi"/>
          <w:kern w:val="0"/>
          <w:lang w:eastAsia="en-GB"/>
        </w:rPr>
        <w:t>email</w:t>
      </w:r>
      <w:proofErr w:type="gramEnd"/>
      <w:r w:rsidR="00374380">
        <w:rPr>
          <w:rFonts w:asciiTheme="majorHAnsi" w:hAnsiTheme="majorHAnsi"/>
          <w:kern w:val="0"/>
          <w:lang w:eastAsia="en-GB"/>
        </w:rPr>
        <w:t xml:space="preserve"> and we hope will be available on the portal soon. </w:t>
      </w:r>
    </w:p>
    <w:p w14:paraId="49D3F237" w14:textId="77777777" w:rsidR="00B56EAB" w:rsidRPr="00374380" w:rsidRDefault="00B56EAB" w:rsidP="00374380">
      <w:pPr>
        <w:pStyle w:val="IntenseQuote"/>
        <w:rPr>
          <w:rStyle w:val="IntenseEmphasis"/>
        </w:rPr>
      </w:pPr>
      <w:r w:rsidRPr="00374380">
        <w:rPr>
          <w:rStyle w:val="IntenseEmphasis"/>
        </w:rPr>
        <w:t>5. Case Reviews &amp; Learning</w:t>
      </w:r>
    </w:p>
    <w:p w14:paraId="630016CC" w14:textId="77777777" w:rsidR="00B56EAB" w:rsidRPr="00B56EAB" w:rsidRDefault="00B56EAB" w:rsidP="00B56EAB">
      <w:pPr>
        <w:rPr>
          <w:rFonts w:asciiTheme="majorHAnsi" w:hAnsiTheme="majorHAnsi"/>
          <w:kern w:val="0"/>
          <w:lang w:eastAsia="en-GB"/>
        </w:rPr>
      </w:pPr>
      <w:r w:rsidRPr="00B56EAB">
        <w:rPr>
          <w:rFonts w:asciiTheme="majorHAnsi" w:hAnsiTheme="majorHAnsi"/>
          <w:kern w:val="0"/>
          <w:lang w:eastAsia="en-GB"/>
        </w:rPr>
        <w:t>Discussion of a forthcoming local practice safeguarding review involving two babies who died due to non-accidental injury (pre-mobile infants).</w:t>
      </w:r>
    </w:p>
    <w:p w14:paraId="157782C1" w14:textId="77777777" w:rsidR="00B56EAB" w:rsidRPr="00B56EAB" w:rsidRDefault="00B56EAB" w:rsidP="00B56EAB">
      <w:pPr>
        <w:rPr>
          <w:rFonts w:asciiTheme="majorHAnsi" w:hAnsiTheme="majorHAnsi"/>
          <w:kern w:val="0"/>
          <w:lang w:eastAsia="en-GB"/>
        </w:rPr>
      </w:pPr>
      <w:r w:rsidRPr="00B56EAB">
        <w:rPr>
          <w:rFonts w:asciiTheme="majorHAnsi" w:hAnsiTheme="majorHAnsi"/>
          <w:kern w:val="0"/>
          <w:lang w:eastAsia="en-GB"/>
        </w:rPr>
        <w:t>Emphasis on immediate referral to MASH and A\&amp;E for any injury in pre-mobile babies; parental explanations should not delay escalation.</w:t>
      </w:r>
    </w:p>
    <w:p w14:paraId="24DFD625" w14:textId="11CC4DE4" w:rsidR="00B56EAB" w:rsidRPr="00B56EAB" w:rsidRDefault="00B56EAB" w:rsidP="00B56EAB">
      <w:pPr>
        <w:rPr>
          <w:rFonts w:asciiTheme="majorHAnsi" w:hAnsiTheme="majorHAnsi"/>
          <w:kern w:val="0"/>
          <w:lang w:eastAsia="en-GB"/>
        </w:rPr>
      </w:pPr>
      <w:r w:rsidRPr="00B56EAB">
        <w:rPr>
          <w:rFonts w:asciiTheme="majorHAnsi" w:hAnsiTheme="majorHAnsi"/>
          <w:kern w:val="0"/>
          <w:lang w:eastAsia="en-GB"/>
        </w:rPr>
        <w:t>Highlighted the importance of skeletal surveys and specialist child protection medicals for suspected abuse</w:t>
      </w:r>
      <w:r w:rsidR="00374380">
        <w:rPr>
          <w:rFonts w:asciiTheme="majorHAnsi" w:hAnsiTheme="majorHAnsi"/>
          <w:kern w:val="0"/>
          <w:lang w:eastAsia="en-GB"/>
        </w:rPr>
        <w:t xml:space="preserve"> and a robust process to send all pre mobile babies with injuries or </w:t>
      </w:r>
      <w:r w:rsidR="00894D59">
        <w:rPr>
          <w:rFonts w:asciiTheme="majorHAnsi" w:hAnsiTheme="majorHAnsi"/>
          <w:kern w:val="0"/>
          <w:lang w:eastAsia="en-GB"/>
        </w:rPr>
        <w:t>bruising</w:t>
      </w:r>
      <w:r w:rsidR="00374380">
        <w:rPr>
          <w:rFonts w:asciiTheme="majorHAnsi" w:hAnsiTheme="majorHAnsi"/>
          <w:kern w:val="0"/>
          <w:lang w:eastAsia="en-GB"/>
        </w:rPr>
        <w:t xml:space="preserve"> to A&amp;E and refer urgently to MASH. </w:t>
      </w:r>
    </w:p>
    <w:p w14:paraId="3A270D7A" w14:textId="77777777" w:rsidR="00B56EAB" w:rsidRPr="00B56EAB" w:rsidRDefault="00B56EAB" w:rsidP="00374380">
      <w:pPr>
        <w:pStyle w:val="IntenseQuote"/>
        <w:rPr>
          <w:lang w:eastAsia="en-GB"/>
        </w:rPr>
      </w:pPr>
      <w:r w:rsidRPr="00B56EAB">
        <w:rPr>
          <w:lang w:eastAsia="en-GB"/>
        </w:rPr>
        <w:t>6. Neglect &amp; Vulnerable Children</w:t>
      </w:r>
    </w:p>
    <w:p w14:paraId="073CD877" w14:textId="77777777" w:rsidR="00B56EAB" w:rsidRPr="00B56EAB" w:rsidRDefault="00B56EAB" w:rsidP="00B56EAB">
      <w:pPr>
        <w:rPr>
          <w:rFonts w:asciiTheme="majorHAnsi" w:hAnsiTheme="majorHAnsi"/>
          <w:kern w:val="0"/>
          <w:lang w:eastAsia="en-GB"/>
        </w:rPr>
      </w:pPr>
      <w:r w:rsidRPr="00B56EAB">
        <w:rPr>
          <w:rFonts w:asciiTheme="majorHAnsi" w:hAnsiTheme="majorHAnsi"/>
          <w:kern w:val="0"/>
          <w:lang w:eastAsia="en-GB"/>
        </w:rPr>
        <w:t>Case review of a child with chronic health conditions who died unexpectedly, revealing severe neglect at home.</w:t>
      </w:r>
    </w:p>
    <w:p w14:paraId="44490A39" w14:textId="77777777" w:rsidR="00B56EAB" w:rsidRPr="00B56EAB" w:rsidRDefault="00B56EAB" w:rsidP="00B56EAB">
      <w:pPr>
        <w:rPr>
          <w:rFonts w:asciiTheme="majorHAnsi" w:hAnsiTheme="majorHAnsi"/>
          <w:kern w:val="0"/>
          <w:lang w:eastAsia="en-GB"/>
        </w:rPr>
      </w:pPr>
      <w:r w:rsidRPr="00B56EAB">
        <w:rPr>
          <w:rFonts w:asciiTheme="majorHAnsi" w:hAnsiTheme="majorHAnsi"/>
          <w:kern w:val="0"/>
          <w:lang w:eastAsia="en-GB"/>
        </w:rPr>
        <w:t>Recommendations include considering early help referrals for children with complex medical needs and ensuring bereavement support is available.</w:t>
      </w:r>
    </w:p>
    <w:p w14:paraId="411A0100" w14:textId="2FA7202A" w:rsidR="00B56EAB" w:rsidRPr="00B56EAB" w:rsidRDefault="00B56EAB" w:rsidP="00B56EAB">
      <w:pPr>
        <w:rPr>
          <w:rFonts w:asciiTheme="majorHAnsi" w:hAnsiTheme="majorHAnsi"/>
          <w:kern w:val="0"/>
          <w:lang w:eastAsia="en-GB"/>
        </w:rPr>
      </w:pPr>
      <w:r w:rsidRPr="00B56EAB">
        <w:rPr>
          <w:rFonts w:asciiTheme="majorHAnsi" w:hAnsiTheme="majorHAnsi"/>
          <w:kern w:val="0"/>
          <w:lang w:eastAsia="en-GB"/>
        </w:rPr>
        <w:t xml:space="preserve">The importance of primary care representation in multi-agency reviews was stressed. </w:t>
      </w:r>
    </w:p>
    <w:p w14:paraId="1DA5441B" w14:textId="189518B7" w:rsidR="00B56EAB" w:rsidRPr="00B56EAB" w:rsidRDefault="00B56EAB" w:rsidP="00374380">
      <w:pPr>
        <w:pStyle w:val="IntenseQuote"/>
        <w:rPr>
          <w:lang w:eastAsia="en-GB"/>
        </w:rPr>
      </w:pPr>
      <w:r w:rsidRPr="00B56EAB">
        <w:rPr>
          <w:lang w:eastAsia="en-GB"/>
        </w:rPr>
        <w:t xml:space="preserve">7. </w:t>
      </w:r>
      <w:proofErr w:type="spellStart"/>
      <w:r w:rsidRPr="00B56EAB">
        <w:rPr>
          <w:lang w:eastAsia="en-GB"/>
        </w:rPr>
        <w:t>Head</w:t>
      </w:r>
      <w:r w:rsidR="00374380">
        <w:rPr>
          <w:lang w:eastAsia="en-GB"/>
        </w:rPr>
        <w:t>s</w:t>
      </w:r>
      <w:r w:rsidRPr="00B56EAB">
        <w:rPr>
          <w:lang w:eastAsia="en-GB"/>
        </w:rPr>
        <w:t>s</w:t>
      </w:r>
      <w:proofErr w:type="spellEnd"/>
      <w:r w:rsidRPr="00B56EAB">
        <w:rPr>
          <w:lang w:eastAsia="en-GB"/>
        </w:rPr>
        <w:t xml:space="preserve"> Assessment Tool</w:t>
      </w:r>
    </w:p>
    <w:p w14:paraId="683270E2" w14:textId="77777777" w:rsidR="00B56EAB" w:rsidRPr="00B56EAB" w:rsidRDefault="00B56EAB" w:rsidP="00B56EAB">
      <w:pPr>
        <w:rPr>
          <w:rFonts w:asciiTheme="majorHAnsi" w:hAnsiTheme="majorHAnsi"/>
          <w:kern w:val="0"/>
          <w:lang w:eastAsia="en-GB"/>
        </w:rPr>
      </w:pPr>
      <w:r w:rsidRPr="00B56EAB">
        <w:rPr>
          <w:rFonts w:asciiTheme="majorHAnsi" w:hAnsiTheme="majorHAnsi"/>
          <w:kern w:val="0"/>
          <w:lang w:eastAsia="en-GB"/>
        </w:rPr>
        <w:lastRenderedPageBreak/>
        <w:t>Discussion on adapting the HEADS adolescent assessment tool for general practice, with ongoing work to create a practical template.</w:t>
      </w:r>
    </w:p>
    <w:p w14:paraId="72218D54" w14:textId="65D4D37B" w:rsidR="00B56EAB" w:rsidRPr="00B56EAB" w:rsidRDefault="00B56EAB" w:rsidP="00B56EAB">
      <w:pPr>
        <w:rPr>
          <w:rFonts w:asciiTheme="majorHAnsi" w:hAnsiTheme="majorHAnsi"/>
          <w:kern w:val="0"/>
          <w:lang w:eastAsia="en-GB"/>
        </w:rPr>
      </w:pPr>
      <w:r w:rsidRPr="00B56EAB">
        <w:rPr>
          <w:rFonts w:asciiTheme="majorHAnsi" w:hAnsiTheme="majorHAnsi"/>
          <w:kern w:val="0"/>
          <w:lang w:eastAsia="en-GB"/>
        </w:rPr>
        <w:t xml:space="preserve">Tool is useful for building a holistic picture of young people, especially those presenting with low mood or complex needs. </w:t>
      </w:r>
    </w:p>
    <w:p w14:paraId="0C37B9B1" w14:textId="77777777" w:rsidR="00B56EAB" w:rsidRPr="00B56EAB" w:rsidRDefault="00B56EAB" w:rsidP="00894D59">
      <w:pPr>
        <w:pStyle w:val="IntenseQuote"/>
        <w:rPr>
          <w:lang w:eastAsia="en-GB"/>
        </w:rPr>
      </w:pPr>
      <w:r w:rsidRPr="00B56EAB">
        <w:rPr>
          <w:lang w:eastAsia="en-GB"/>
        </w:rPr>
        <w:t>8. Sick Notes &amp; School Attendance</w:t>
      </w:r>
    </w:p>
    <w:p w14:paraId="50DB7D9D" w14:textId="77777777" w:rsidR="00B56EAB" w:rsidRPr="00B56EAB" w:rsidRDefault="00B56EAB" w:rsidP="00B56EAB">
      <w:pPr>
        <w:rPr>
          <w:rFonts w:asciiTheme="majorHAnsi" w:hAnsiTheme="majorHAnsi"/>
          <w:kern w:val="0"/>
          <w:lang w:eastAsia="en-GB"/>
        </w:rPr>
      </w:pPr>
      <w:r w:rsidRPr="00B56EAB">
        <w:rPr>
          <w:rFonts w:asciiTheme="majorHAnsi" w:hAnsiTheme="majorHAnsi"/>
          <w:kern w:val="0"/>
          <w:lang w:eastAsia="en-GB"/>
        </w:rPr>
        <w:t>Strong advice against issuing DWP sick notes for children; schools should be given proof of health appointments instead.</w:t>
      </w:r>
    </w:p>
    <w:p w14:paraId="0F6EC05D" w14:textId="77777777" w:rsidR="00B56EAB" w:rsidRPr="00B56EAB" w:rsidRDefault="00B56EAB" w:rsidP="00B56EAB">
      <w:pPr>
        <w:rPr>
          <w:rFonts w:asciiTheme="majorHAnsi" w:hAnsiTheme="majorHAnsi"/>
          <w:kern w:val="0"/>
          <w:lang w:eastAsia="en-GB"/>
        </w:rPr>
      </w:pPr>
      <w:r w:rsidRPr="00B56EAB">
        <w:rPr>
          <w:rFonts w:asciiTheme="majorHAnsi" w:hAnsiTheme="majorHAnsi"/>
          <w:kern w:val="0"/>
          <w:lang w:eastAsia="en-GB"/>
        </w:rPr>
        <w:t>Persistent poor attendance should prompt early help referrals and multidisciplinary discussion.</w:t>
      </w:r>
    </w:p>
    <w:p w14:paraId="26D65879" w14:textId="2E7B3956" w:rsidR="00B56EAB" w:rsidRPr="00B56EAB" w:rsidRDefault="00B56EAB" w:rsidP="00B56EAB">
      <w:pPr>
        <w:rPr>
          <w:rFonts w:asciiTheme="majorHAnsi" w:hAnsiTheme="majorHAnsi"/>
          <w:kern w:val="0"/>
          <w:lang w:eastAsia="en-GB"/>
        </w:rPr>
      </w:pPr>
      <w:r w:rsidRPr="00B56EAB">
        <w:rPr>
          <w:rFonts w:asciiTheme="majorHAnsi" w:hAnsiTheme="majorHAnsi"/>
          <w:kern w:val="0"/>
          <w:lang w:eastAsia="en-GB"/>
        </w:rPr>
        <w:t>Locums should be briefed on local policy regarding sick notes for children</w:t>
      </w:r>
    </w:p>
    <w:p w14:paraId="080CE5A3" w14:textId="77777777" w:rsidR="00B56EAB" w:rsidRPr="00B56EAB" w:rsidRDefault="00B56EAB" w:rsidP="00894D59">
      <w:pPr>
        <w:pStyle w:val="IntenseQuote"/>
        <w:rPr>
          <w:lang w:eastAsia="en-GB"/>
        </w:rPr>
      </w:pPr>
      <w:r w:rsidRPr="00B56EAB">
        <w:rPr>
          <w:lang w:eastAsia="en-GB"/>
        </w:rPr>
        <w:t>9. Child Protection Information Systems (CPIS)</w:t>
      </w:r>
    </w:p>
    <w:p w14:paraId="71D26339" w14:textId="77BEC56F" w:rsidR="00B56EAB" w:rsidRPr="00B56EAB" w:rsidRDefault="00B56EAB" w:rsidP="00B56EAB">
      <w:pPr>
        <w:rPr>
          <w:rFonts w:asciiTheme="majorHAnsi" w:hAnsiTheme="majorHAnsi"/>
          <w:kern w:val="0"/>
          <w:lang w:eastAsia="en-GB"/>
        </w:rPr>
      </w:pPr>
      <w:r w:rsidRPr="00B56EAB">
        <w:rPr>
          <w:rFonts w:asciiTheme="majorHAnsi" w:hAnsiTheme="majorHAnsi"/>
          <w:kern w:val="0"/>
          <w:lang w:eastAsia="en-GB"/>
        </w:rPr>
        <w:t xml:space="preserve">Update on CPIS rollout delays; new registrations of children and pregnant women </w:t>
      </w:r>
      <w:r w:rsidR="00894D59">
        <w:rPr>
          <w:rFonts w:asciiTheme="majorHAnsi" w:hAnsiTheme="majorHAnsi"/>
          <w:kern w:val="0"/>
          <w:lang w:eastAsia="en-GB"/>
        </w:rPr>
        <w:t>should</w:t>
      </w:r>
      <w:r w:rsidRPr="00B56EAB">
        <w:rPr>
          <w:rFonts w:asciiTheme="majorHAnsi" w:hAnsiTheme="majorHAnsi"/>
          <w:kern w:val="0"/>
          <w:lang w:eastAsia="en-GB"/>
        </w:rPr>
        <w:t xml:space="preserve"> be checked against the spine for safeguarding flags.</w:t>
      </w:r>
    </w:p>
    <w:p w14:paraId="2F3566B6" w14:textId="3708B58F" w:rsidR="00B56EAB" w:rsidRPr="00B56EAB" w:rsidRDefault="00B56EAB" w:rsidP="00B56EAB">
      <w:pPr>
        <w:rPr>
          <w:rFonts w:asciiTheme="majorHAnsi" w:hAnsiTheme="majorHAnsi"/>
          <w:kern w:val="0"/>
          <w:lang w:eastAsia="en-GB"/>
        </w:rPr>
      </w:pPr>
      <w:r w:rsidRPr="00B56EAB">
        <w:rPr>
          <w:rFonts w:asciiTheme="majorHAnsi" w:hAnsiTheme="majorHAnsi"/>
          <w:kern w:val="0"/>
          <w:lang w:eastAsia="en-GB"/>
        </w:rPr>
        <w:t xml:space="preserve">Emphasis on primary care’s role in safeguarding and the need for improved information sharing from social care. </w:t>
      </w:r>
    </w:p>
    <w:p w14:paraId="2EB22843" w14:textId="77777777" w:rsidR="00B56EAB" w:rsidRPr="00B56EAB" w:rsidRDefault="00B56EAB" w:rsidP="00894D59">
      <w:pPr>
        <w:pStyle w:val="IntenseQuote"/>
        <w:rPr>
          <w:lang w:eastAsia="en-GB"/>
        </w:rPr>
      </w:pPr>
      <w:r w:rsidRPr="00B56EAB">
        <w:rPr>
          <w:lang w:eastAsia="en-GB"/>
        </w:rPr>
        <w:t>10. Anti-Racist Practice &amp; Thematic Audits</w:t>
      </w:r>
    </w:p>
    <w:p w14:paraId="03BF6B82" w14:textId="77777777" w:rsidR="00B56EAB" w:rsidRPr="00B56EAB" w:rsidRDefault="00B56EAB" w:rsidP="00B56EAB">
      <w:pPr>
        <w:rPr>
          <w:rFonts w:asciiTheme="majorHAnsi" w:hAnsiTheme="majorHAnsi"/>
          <w:kern w:val="0"/>
          <w:lang w:eastAsia="en-GB"/>
        </w:rPr>
      </w:pPr>
      <w:r w:rsidRPr="00B56EAB">
        <w:rPr>
          <w:rFonts w:asciiTheme="majorHAnsi" w:hAnsiTheme="majorHAnsi"/>
          <w:kern w:val="0"/>
          <w:lang w:eastAsia="en-GB"/>
        </w:rPr>
        <w:t>Partnership is auditing disproportionality in MASH referrals, especially for Black children.</w:t>
      </w:r>
    </w:p>
    <w:p w14:paraId="618C138C" w14:textId="77777777" w:rsidR="00B56EAB" w:rsidRPr="00B56EAB" w:rsidRDefault="00B56EAB" w:rsidP="00B56EAB">
      <w:pPr>
        <w:rPr>
          <w:rFonts w:asciiTheme="majorHAnsi" w:hAnsiTheme="majorHAnsi"/>
          <w:kern w:val="0"/>
          <w:lang w:eastAsia="en-GB"/>
        </w:rPr>
      </w:pPr>
      <w:r w:rsidRPr="00B56EAB">
        <w:rPr>
          <w:rFonts w:asciiTheme="majorHAnsi" w:hAnsiTheme="majorHAnsi"/>
          <w:kern w:val="0"/>
          <w:lang w:eastAsia="en-GB"/>
        </w:rPr>
        <w:t>CSA thematic audit revealed gaps in communication from social care to primary care.</w:t>
      </w:r>
    </w:p>
    <w:p w14:paraId="55D6B9F9" w14:textId="0DF85906" w:rsidR="00B56EAB" w:rsidRPr="00B56EAB" w:rsidRDefault="00B56EAB" w:rsidP="00B56EAB">
      <w:pPr>
        <w:rPr>
          <w:rFonts w:asciiTheme="majorHAnsi" w:hAnsiTheme="majorHAnsi"/>
          <w:kern w:val="0"/>
          <w:lang w:eastAsia="en-GB"/>
        </w:rPr>
      </w:pPr>
      <w:r w:rsidRPr="00B56EAB">
        <w:rPr>
          <w:rFonts w:asciiTheme="majorHAnsi" w:hAnsiTheme="majorHAnsi"/>
          <w:kern w:val="0"/>
          <w:lang w:eastAsia="en-GB"/>
        </w:rPr>
        <w:t xml:space="preserve">Ongoing work to improve multidisciplinary pathways for adults with historic CSA. </w:t>
      </w:r>
    </w:p>
    <w:p w14:paraId="29A976AD" w14:textId="77777777" w:rsidR="00B56EAB" w:rsidRPr="00B56EAB" w:rsidRDefault="00B56EAB" w:rsidP="003C0AB3">
      <w:pPr>
        <w:pStyle w:val="IntenseQuote"/>
        <w:rPr>
          <w:lang w:eastAsia="en-GB"/>
        </w:rPr>
      </w:pPr>
      <w:r w:rsidRPr="00B56EAB">
        <w:rPr>
          <w:lang w:eastAsia="en-GB"/>
        </w:rPr>
        <w:t>11. Open Forum &amp; Next Steps</w:t>
      </w:r>
    </w:p>
    <w:p w14:paraId="653A8FEE" w14:textId="77777777" w:rsidR="00B56EAB" w:rsidRPr="00B56EAB" w:rsidRDefault="00B56EAB" w:rsidP="00B56EAB">
      <w:pPr>
        <w:rPr>
          <w:rFonts w:asciiTheme="majorHAnsi" w:hAnsiTheme="majorHAnsi"/>
          <w:kern w:val="0"/>
          <w:lang w:eastAsia="en-GB"/>
        </w:rPr>
      </w:pPr>
      <w:r w:rsidRPr="00B56EAB">
        <w:rPr>
          <w:rFonts w:asciiTheme="majorHAnsi" w:hAnsiTheme="majorHAnsi"/>
          <w:kern w:val="0"/>
          <w:lang w:eastAsia="en-GB"/>
        </w:rPr>
        <w:t>Attendees invited to raise current themes or concerns.</w:t>
      </w:r>
    </w:p>
    <w:p w14:paraId="12B08970" w14:textId="77777777" w:rsidR="00B56EAB" w:rsidRPr="00B56EAB" w:rsidRDefault="00B56EAB" w:rsidP="00B56EAB">
      <w:pPr>
        <w:rPr>
          <w:rFonts w:asciiTheme="majorHAnsi" w:hAnsiTheme="majorHAnsi"/>
          <w:kern w:val="0"/>
          <w:lang w:eastAsia="en-GB"/>
        </w:rPr>
      </w:pPr>
      <w:r w:rsidRPr="00B56EAB">
        <w:rPr>
          <w:rFonts w:asciiTheme="majorHAnsi" w:hAnsiTheme="majorHAnsi"/>
          <w:kern w:val="0"/>
          <w:lang w:eastAsia="en-GB"/>
        </w:rPr>
        <w:t>Communication with social care remains a challenge; practitioners encouraged to share feedback and issues for escalation.</w:t>
      </w:r>
    </w:p>
    <w:p w14:paraId="1995375A" w14:textId="063D4EF1" w:rsidR="00B56EAB" w:rsidRPr="00B56EAB" w:rsidRDefault="00B56EAB" w:rsidP="00B56EAB">
      <w:pPr>
        <w:rPr>
          <w:rFonts w:asciiTheme="majorHAnsi" w:hAnsiTheme="majorHAnsi"/>
          <w:kern w:val="0"/>
          <w:lang w:eastAsia="en-GB"/>
        </w:rPr>
      </w:pPr>
      <w:r w:rsidRPr="00B56EAB">
        <w:rPr>
          <w:rFonts w:asciiTheme="majorHAnsi" w:hAnsiTheme="majorHAnsi"/>
          <w:kern w:val="0"/>
          <w:lang w:eastAsia="en-GB"/>
        </w:rPr>
        <w:t>Resources and slides to be distributed after the meeting.</w:t>
      </w:r>
      <w:r w:rsidR="003C0AB3" w:rsidRPr="00B56EAB">
        <w:rPr>
          <w:rFonts w:asciiTheme="majorHAnsi" w:hAnsiTheme="majorHAnsi"/>
          <w:kern w:val="0"/>
          <w:lang w:eastAsia="en-GB"/>
        </w:rPr>
        <w:t xml:space="preserve"> </w:t>
      </w:r>
    </w:p>
    <w:p w14:paraId="0C792AE0" w14:textId="07562297" w:rsidR="00B56EAB" w:rsidRPr="00B56EAB" w:rsidRDefault="00B56EAB" w:rsidP="00B56EAB">
      <w:pPr>
        <w:rPr>
          <w:rFonts w:asciiTheme="majorHAnsi" w:hAnsiTheme="majorHAnsi"/>
          <w:kern w:val="0"/>
          <w:lang w:eastAsia="en-GB"/>
        </w:rPr>
      </w:pPr>
    </w:p>
    <w:p w14:paraId="1F6E892D" w14:textId="77777777" w:rsidR="00B56EAB" w:rsidRPr="00B56EAB" w:rsidRDefault="00B56EAB" w:rsidP="003C0AB3">
      <w:pPr>
        <w:pStyle w:val="IntenseQuote"/>
        <w:rPr>
          <w:lang w:eastAsia="en-GB"/>
        </w:rPr>
      </w:pPr>
      <w:r w:rsidRPr="00B56EAB">
        <w:rPr>
          <w:lang w:eastAsia="en-GB"/>
        </w:rPr>
        <w:t>Actions &amp; Decisions</w:t>
      </w:r>
    </w:p>
    <w:p w14:paraId="6E9146DB" w14:textId="77777777" w:rsidR="00B56EAB" w:rsidRPr="00B56EAB" w:rsidRDefault="00B56EAB" w:rsidP="00B56EAB">
      <w:pPr>
        <w:rPr>
          <w:rFonts w:asciiTheme="majorHAnsi" w:hAnsiTheme="majorHAnsi"/>
          <w:kern w:val="0"/>
          <w:lang w:eastAsia="en-GB"/>
        </w:rPr>
      </w:pPr>
      <w:r w:rsidRPr="00B56EAB">
        <w:rPr>
          <w:rFonts w:asciiTheme="majorHAnsi" w:hAnsiTheme="majorHAnsi"/>
          <w:kern w:val="0"/>
          <w:lang w:eastAsia="en-GB"/>
        </w:rPr>
        <w:t>Annual safeguarding training to be provided for Newham GPs, with at least two sessions per year.</w:t>
      </w:r>
    </w:p>
    <w:p w14:paraId="565832A6" w14:textId="77777777" w:rsidR="00B56EAB" w:rsidRPr="00B56EAB" w:rsidRDefault="00B56EAB" w:rsidP="00B56EAB">
      <w:pPr>
        <w:rPr>
          <w:rFonts w:asciiTheme="majorHAnsi" w:hAnsiTheme="majorHAnsi"/>
          <w:kern w:val="0"/>
          <w:lang w:eastAsia="en-GB"/>
        </w:rPr>
      </w:pPr>
      <w:r w:rsidRPr="00B56EAB">
        <w:rPr>
          <w:rFonts w:asciiTheme="majorHAnsi" w:hAnsiTheme="majorHAnsi"/>
          <w:kern w:val="0"/>
          <w:lang w:eastAsia="en-GB"/>
        </w:rPr>
        <w:t>Locum packs to be updated with safeguarding documents and local policies.</w:t>
      </w:r>
    </w:p>
    <w:p w14:paraId="109BE426" w14:textId="77777777" w:rsidR="00B56EAB" w:rsidRPr="00B56EAB" w:rsidRDefault="00B56EAB" w:rsidP="00B56EAB">
      <w:pPr>
        <w:rPr>
          <w:rFonts w:asciiTheme="majorHAnsi" w:hAnsiTheme="majorHAnsi"/>
          <w:kern w:val="0"/>
          <w:lang w:eastAsia="en-GB"/>
        </w:rPr>
      </w:pPr>
      <w:r w:rsidRPr="00B56EAB">
        <w:rPr>
          <w:rFonts w:asciiTheme="majorHAnsi" w:hAnsiTheme="majorHAnsi"/>
          <w:kern w:val="0"/>
          <w:lang w:eastAsia="en-GB"/>
        </w:rPr>
        <w:t>Immediate referral to MASH/A\&amp;E for injuries in pre-mobile babies.</w:t>
      </w:r>
    </w:p>
    <w:p w14:paraId="478C311D" w14:textId="77777777" w:rsidR="00B56EAB" w:rsidRPr="00B56EAB" w:rsidRDefault="00B56EAB" w:rsidP="00B56EAB">
      <w:pPr>
        <w:rPr>
          <w:rFonts w:asciiTheme="majorHAnsi" w:hAnsiTheme="majorHAnsi"/>
          <w:kern w:val="0"/>
          <w:lang w:eastAsia="en-GB"/>
        </w:rPr>
      </w:pPr>
      <w:r w:rsidRPr="00B56EAB">
        <w:rPr>
          <w:rFonts w:asciiTheme="majorHAnsi" w:hAnsiTheme="majorHAnsi"/>
          <w:kern w:val="0"/>
          <w:lang w:eastAsia="en-GB"/>
        </w:rPr>
        <w:t>Early help referrals for children with complex health needs or poor school attendance.</w:t>
      </w:r>
    </w:p>
    <w:p w14:paraId="6844FEEC" w14:textId="0E79A735" w:rsidR="00B56EAB" w:rsidRPr="00B56EAB" w:rsidRDefault="00B56EAB" w:rsidP="00B56EAB">
      <w:pPr>
        <w:rPr>
          <w:rFonts w:asciiTheme="majorHAnsi" w:hAnsiTheme="majorHAnsi"/>
          <w:kern w:val="0"/>
          <w:lang w:eastAsia="en-GB"/>
        </w:rPr>
      </w:pPr>
      <w:r w:rsidRPr="00B56EAB">
        <w:rPr>
          <w:rFonts w:asciiTheme="majorHAnsi" w:hAnsiTheme="majorHAnsi"/>
          <w:kern w:val="0"/>
          <w:lang w:eastAsia="en-GB"/>
        </w:rPr>
        <w:t>Review and adapt HEADS</w:t>
      </w:r>
      <w:r w:rsidR="003C0AB3">
        <w:rPr>
          <w:rFonts w:asciiTheme="majorHAnsi" w:hAnsiTheme="majorHAnsi"/>
          <w:kern w:val="0"/>
          <w:lang w:eastAsia="en-GB"/>
        </w:rPr>
        <w:t>S</w:t>
      </w:r>
      <w:r w:rsidRPr="00B56EAB">
        <w:rPr>
          <w:rFonts w:asciiTheme="majorHAnsi" w:hAnsiTheme="majorHAnsi"/>
          <w:kern w:val="0"/>
          <w:lang w:eastAsia="en-GB"/>
        </w:rPr>
        <w:t xml:space="preserve"> assessment tool for use in general practice.</w:t>
      </w:r>
    </w:p>
    <w:p w14:paraId="39F49853" w14:textId="77777777" w:rsidR="00B56EAB" w:rsidRPr="00B56EAB" w:rsidRDefault="00B56EAB" w:rsidP="00B56EAB">
      <w:pPr>
        <w:rPr>
          <w:rFonts w:asciiTheme="majorHAnsi" w:hAnsiTheme="majorHAnsi"/>
          <w:kern w:val="0"/>
          <w:lang w:eastAsia="en-GB"/>
        </w:rPr>
      </w:pPr>
      <w:r w:rsidRPr="00B56EAB">
        <w:rPr>
          <w:rFonts w:asciiTheme="majorHAnsi" w:hAnsiTheme="majorHAnsi"/>
          <w:kern w:val="0"/>
          <w:lang w:eastAsia="en-GB"/>
        </w:rPr>
        <w:t>Continue partnership work on anti-racist practice and improving communication with social care.</w:t>
      </w:r>
    </w:p>
    <w:p w14:paraId="778473E7" w14:textId="77777777" w:rsidR="00B56EAB" w:rsidRPr="00B56EAB" w:rsidRDefault="00B56EAB" w:rsidP="00B56EAB">
      <w:pPr>
        <w:rPr>
          <w:rFonts w:asciiTheme="majorHAnsi" w:hAnsiTheme="majorHAnsi"/>
          <w:kern w:val="0"/>
          <w:lang w:eastAsia="en-GB"/>
        </w:rPr>
      </w:pPr>
      <w:r w:rsidRPr="00B56EAB">
        <w:rPr>
          <w:rFonts w:asciiTheme="majorHAnsi" w:hAnsiTheme="majorHAnsi"/>
          <w:kern w:val="0"/>
          <w:lang w:eastAsia="en-GB"/>
        </w:rPr>
        <w:t>Distribute meeting resources and slides to all attendees.</w:t>
      </w:r>
    </w:p>
    <w:p w14:paraId="4A15625F" w14:textId="77777777" w:rsidR="001749AD" w:rsidRPr="00B56EAB" w:rsidRDefault="001749AD" w:rsidP="00B56EAB">
      <w:pPr>
        <w:rPr>
          <w:rFonts w:asciiTheme="majorHAnsi" w:hAnsiTheme="majorHAnsi" w:cs="Arial"/>
        </w:rPr>
      </w:pPr>
    </w:p>
    <w:sectPr w:rsidR="001749AD" w:rsidRPr="00B56E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F5A"/>
    <w:multiLevelType w:val="multilevel"/>
    <w:tmpl w:val="0DAA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A2371"/>
    <w:multiLevelType w:val="multilevel"/>
    <w:tmpl w:val="AB84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A22EB"/>
    <w:multiLevelType w:val="multilevel"/>
    <w:tmpl w:val="AD0A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24A07"/>
    <w:multiLevelType w:val="multilevel"/>
    <w:tmpl w:val="666A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40A91"/>
    <w:multiLevelType w:val="multilevel"/>
    <w:tmpl w:val="16CE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3A2CBC"/>
    <w:multiLevelType w:val="multilevel"/>
    <w:tmpl w:val="E958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3A099B"/>
    <w:multiLevelType w:val="multilevel"/>
    <w:tmpl w:val="68F86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354326"/>
    <w:multiLevelType w:val="multilevel"/>
    <w:tmpl w:val="B944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D176F9"/>
    <w:multiLevelType w:val="multilevel"/>
    <w:tmpl w:val="20D4B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0B5780"/>
    <w:multiLevelType w:val="multilevel"/>
    <w:tmpl w:val="17C2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1F2432"/>
    <w:multiLevelType w:val="multilevel"/>
    <w:tmpl w:val="94F4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0D40CB"/>
    <w:multiLevelType w:val="multilevel"/>
    <w:tmpl w:val="F324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6C4BD7"/>
    <w:multiLevelType w:val="multilevel"/>
    <w:tmpl w:val="5630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3187244">
    <w:abstractNumId w:val="2"/>
  </w:num>
  <w:num w:numId="2" w16cid:durableId="185336398">
    <w:abstractNumId w:val="1"/>
  </w:num>
  <w:num w:numId="3" w16cid:durableId="447626646">
    <w:abstractNumId w:val="4"/>
  </w:num>
  <w:num w:numId="4" w16cid:durableId="319429467">
    <w:abstractNumId w:val="12"/>
  </w:num>
  <w:num w:numId="5" w16cid:durableId="1133669465">
    <w:abstractNumId w:val="6"/>
  </w:num>
  <w:num w:numId="6" w16cid:durableId="1923023758">
    <w:abstractNumId w:val="10"/>
  </w:num>
  <w:num w:numId="7" w16cid:durableId="1583833667">
    <w:abstractNumId w:val="0"/>
  </w:num>
  <w:num w:numId="8" w16cid:durableId="757485255">
    <w:abstractNumId w:val="11"/>
  </w:num>
  <w:num w:numId="9" w16cid:durableId="1780102108">
    <w:abstractNumId w:val="9"/>
  </w:num>
  <w:num w:numId="10" w16cid:durableId="1385716385">
    <w:abstractNumId w:val="7"/>
  </w:num>
  <w:num w:numId="11" w16cid:durableId="511458156">
    <w:abstractNumId w:val="5"/>
  </w:num>
  <w:num w:numId="12" w16cid:durableId="1243754922">
    <w:abstractNumId w:val="8"/>
  </w:num>
  <w:num w:numId="13" w16cid:durableId="2084788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AB"/>
    <w:rsid w:val="001749AD"/>
    <w:rsid w:val="00374380"/>
    <w:rsid w:val="003C0AB3"/>
    <w:rsid w:val="00894D59"/>
    <w:rsid w:val="008E5A0C"/>
    <w:rsid w:val="00B56EAB"/>
    <w:rsid w:val="00EB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D6772"/>
  <w15:chartTrackingRefBased/>
  <w15:docId w15:val="{EC0C20F8-5814-4899-9FF3-3E2C5CA7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9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9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9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9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9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9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9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9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9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9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9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6E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6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elearning.rcgp.org.uk%2Fpluginfile.php%2F205139%2Fmod_book%2Fchapter%2F986%2FSafeguarding%2520Reflective%2520Practice%2520-%2520Structured%2520Template%25201.docx&amp;wdOrigin=BROWSE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hehub-beta.walthamforest.gov.uk/sites/default/files/2021-01/Safeguarding_Adolescents_A_Practice_Guide_2020_FIN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imarycare.northeastlondon.icb.nhs.uk/wp-content/uploads/2024/07/NHS_NEL-GP-SG-handbook-June-2024-v106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learning.rcgp.org.uk/mod/book/view.php?id=1529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ew.officeapps.live.com/op/view.aspx?src=https%3A%2F%2Felearning.rcgp.org.uk%2Fpluginfile.php%2F205139%2Fmod_book%2Fchapter%2F986%2FSafeguarding%2520Case%2520Review%2520-%2520Structured%2520Template%25201.docx%3Ftime%3D1729086504605&amp;wdOrigin=BROWSE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Tukmachi</dc:creator>
  <cp:keywords/>
  <dc:description/>
  <cp:lastModifiedBy>Emma Tukmachi</cp:lastModifiedBy>
  <cp:revision>1</cp:revision>
  <dcterms:created xsi:type="dcterms:W3CDTF">2025-11-20T12:09:00Z</dcterms:created>
  <dcterms:modified xsi:type="dcterms:W3CDTF">2025-11-25T11:30:00Z</dcterms:modified>
</cp:coreProperties>
</file>