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08B8" w14:textId="77777777" w:rsidR="004E35F1" w:rsidRDefault="004E35F1" w:rsidP="004E35F1">
      <w:pPr>
        <w:spacing w:after="0" w:line="259" w:lineRule="auto"/>
        <w:ind w:left="6143" w:right="-699" w:firstLine="0"/>
      </w:pPr>
      <w:r>
        <w:rPr>
          <w:noProof/>
        </w:rPr>
        <w:drawing>
          <wp:inline distT="0" distB="0" distL="0" distR="0" wp14:anchorId="0A66C567" wp14:editId="3EB88C54">
            <wp:extent cx="2251837" cy="868045"/>
            <wp:effectExtent l="0" t="0" r="0" b="0"/>
            <wp:docPr id="131" name="Picture 13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A blue and whit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1837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D31FD" w14:textId="4A6F4EBE" w:rsidR="004E35F1" w:rsidRDefault="004E35F1" w:rsidP="004E35F1">
      <w:pPr>
        <w:spacing w:after="0" w:line="259" w:lineRule="auto"/>
        <w:ind w:left="14" w:firstLine="0"/>
        <w:rPr>
          <w:sz w:val="30"/>
        </w:rPr>
      </w:pPr>
      <w:r>
        <w:rPr>
          <w:b/>
          <w:sz w:val="30"/>
        </w:rPr>
        <w:t>Registration Authority Newsletter - December 2025</w:t>
      </w:r>
      <w:r>
        <w:rPr>
          <w:sz w:val="30"/>
        </w:rPr>
        <w:t xml:space="preserve">  </w:t>
      </w:r>
    </w:p>
    <w:p w14:paraId="63815C28" w14:textId="77777777" w:rsidR="00A5764C" w:rsidRDefault="00A5764C" w:rsidP="004E35F1">
      <w:pPr>
        <w:spacing w:after="0" w:line="259" w:lineRule="auto"/>
        <w:ind w:left="14" w:firstLine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08608D24" w14:textId="5B15844D" w:rsidR="004E35F1" w:rsidRPr="00EC26AF" w:rsidRDefault="004E35F1" w:rsidP="004E35F1">
      <w:pPr>
        <w:spacing w:after="0" w:line="259" w:lineRule="auto"/>
        <w:ind w:left="14" w:firstLine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C26A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Position assignment expiry issue</w:t>
      </w:r>
    </w:p>
    <w:p w14:paraId="2FF2DD56" w14:textId="501B9893" w:rsidR="004E35F1" w:rsidRPr="00EB4556" w:rsidRDefault="00654063" w:rsidP="004E35F1">
      <w:pPr>
        <w:spacing w:after="0" w:line="259" w:lineRule="auto"/>
        <w:ind w:left="14" w:firstLine="0"/>
      </w:pPr>
      <w:r>
        <w:t xml:space="preserve">The </w:t>
      </w:r>
      <w:r w:rsidR="004E35F1" w:rsidRPr="00EB4556">
        <w:t>Issue was reported back in February 2025 when multiple sites reported multiple users experiencing a loss of access to services that require certain roles when using their smartcard to authenticate. NHSE stated the issue has now been resolved and no further action is required.</w:t>
      </w:r>
      <w:r w:rsidR="00EC26AF">
        <w:t xml:space="preserve"> </w:t>
      </w:r>
      <w:r w:rsidR="004E35F1" w:rsidRPr="00EB4556">
        <w:t>However, more users have reported the issue lately. Kindly check your clinicians (especially) haven’t lost access and report any loss of access to the RA team for prompt re-activation.</w:t>
      </w:r>
    </w:p>
    <w:p w14:paraId="1321F5E6" w14:textId="77777777" w:rsidR="004E35F1" w:rsidRDefault="004E35F1" w:rsidP="004E35F1">
      <w:pPr>
        <w:spacing w:after="0" w:line="259" w:lineRule="auto"/>
        <w:ind w:left="14" w:firstLine="0"/>
        <w:rPr>
          <w:sz w:val="30"/>
        </w:rPr>
      </w:pPr>
    </w:p>
    <w:p w14:paraId="0064BB87" w14:textId="77777777" w:rsidR="00A5764C" w:rsidRDefault="004E35F1" w:rsidP="004E35F1">
      <w:pPr>
        <w:ind w:left="9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C26A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Series 4, 5 and 6 smartcards are due to be deprecated</w:t>
      </w:r>
    </w:p>
    <w:p w14:paraId="263A18C6" w14:textId="337AC924" w:rsidR="004E35F1" w:rsidRDefault="004E35F1" w:rsidP="004E35F1">
      <w:pPr>
        <w:ind w:left="9"/>
      </w:pPr>
      <w:r>
        <w:t xml:space="preserve">There are still about 53 actively used old series smartcard. Please log a call to replace these older series smartcards as soon as possible. Contact the NEL ICB Registration Authority by email - itservicedesk.nelicb@nhs.net (stating the smartcard information, your email and a return address) to order a replacement smartcard.    </w:t>
      </w:r>
    </w:p>
    <w:p w14:paraId="7FB09A2D" w14:textId="77777777" w:rsidR="004E35F1" w:rsidRDefault="004E35F1" w:rsidP="004E35F1">
      <w:pPr>
        <w:spacing w:after="0" w:line="259" w:lineRule="auto"/>
        <w:ind w:left="14" w:firstLine="0"/>
      </w:pPr>
    </w:p>
    <w:p w14:paraId="18E3413D" w14:textId="4530E43C" w:rsidR="004E35F1" w:rsidRPr="00EC26AF" w:rsidRDefault="004E35F1" w:rsidP="00EC26AF">
      <w:pPr>
        <w:spacing w:after="1" w:line="259" w:lineRule="auto"/>
        <w:ind w:left="-5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C26A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How to check if your smartcard needs to be replaced  </w:t>
      </w:r>
    </w:p>
    <w:p w14:paraId="01831638" w14:textId="35179C05" w:rsidR="004E35F1" w:rsidRDefault="004E35F1" w:rsidP="004E35F1">
      <w:pPr>
        <w:ind w:left="9"/>
      </w:pPr>
      <w:r>
        <w:t xml:space="preserve">All smartcard users are required to check their smartcard serial number (first two digits- at the back of the smartcard); any card that does not start with serial number </w:t>
      </w:r>
      <w:r w:rsidRPr="0020445E">
        <w:rPr>
          <w:b/>
          <w:bCs/>
        </w:rPr>
        <w:t xml:space="preserve">08 </w:t>
      </w:r>
      <w:r>
        <w:t xml:space="preserve">or </w:t>
      </w:r>
      <w:r w:rsidRPr="0020445E">
        <w:rPr>
          <w:b/>
          <w:bCs/>
        </w:rPr>
        <w:t>09</w:t>
      </w:r>
      <w:r>
        <w:t xml:space="preserve"> would need to be replaced.  </w:t>
      </w:r>
      <w:r w:rsidRPr="004E35F1">
        <w:t xml:space="preserve">See further guidance about Identifying older cards @ </w:t>
      </w:r>
      <w:r w:rsidRPr="0020445E">
        <w:t>ht</w:t>
      </w:r>
      <w:r>
        <w:t xml:space="preserve">tps://digital.nhs.uk/services/careidentity-service/latest-news/revised-dates-for-the-phasing-out-of-smartcard-series-4-5-and-6 </w:t>
      </w:r>
    </w:p>
    <w:p w14:paraId="1CF80124" w14:textId="77777777" w:rsidR="004E35F1" w:rsidRPr="004E35F1" w:rsidRDefault="004E35F1" w:rsidP="004E35F1">
      <w:pPr>
        <w:spacing w:after="0" w:line="259" w:lineRule="auto"/>
        <w:ind w:left="14" w:firstLine="0"/>
      </w:pPr>
    </w:p>
    <w:p w14:paraId="71508EA7" w14:textId="77777777" w:rsidR="004E35F1" w:rsidRPr="00A5764C" w:rsidRDefault="004E35F1" w:rsidP="00EC26AF">
      <w:pPr>
        <w:spacing w:after="1" w:line="259" w:lineRule="auto"/>
        <w:ind w:left="-5"/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 w:rsidRPr="00EC26A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Software and hardware </w:t>
      </w:r>
      <w:r w:rsidRPr="00A5764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retirement </w:t>
      </w:r>
      <w:r w:rsidRPr="00A5764C">
        <w:rPr>
          <w:rFonts w:asciiTheme="majorHAnsi" w:eastAsiaTheme="majorEastAsia" w:hAnsiTheme="majorHAnsi" w:cstheme="majorBidi"/>
          <w:color w:val="0F4761" w:themeColor="accent1" w:themeShade="BF"/>
          <w:szCs w:val="22"/>
        </w:rPr>
        <w:t>[</w:t>
      </w:r>
      <w:r w:rsidRPr="00A5764C"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  <w:t>Managed inhouse for all NEL ICB IT supported sites]</w:t>
      </w:r>
    </w:p>
    <w:p w14:paraId="64BA3952" w14:textId="310AFC8F" w:rsidR="004E35F1" w:rsidRPr="00791304" w:rsidRDefault="004E35F1" w:rsidP="00E761A1">
      <w:pPr>
        <w:spacing w:after="0" w:line="259" w:lineRule="auto"/>
        <w:ind w:left="14" w:firstLine="0"/>
      </w:pPr>
      <w:r w:rsidRPr="004E35F1">
        <w:t>NHSE is now</w:t>
      </w:r>
      <w:r w:rsidRPr="00791304">
        <w:t xml:space="preserve"> taking steps to permanently block the use of retired Care Identity Service software from the NHS estate.</w:t>
      </w:r>
      <w:r w:rsidR="00E761A1">
        <w:t xml:space="preserve"> </w:t>
      </w:r>
      <w:r>
        <w:t>T</w:t>
      </w:r>
      <w:r w:rsidRPr="00791304">
        <w:t>his is as part of our ongoing focus on cyber resilience and security, In line with the current </w:t>
      </w:r>
      <w:hyperlink r:id="rId6" w:history="1">
        <w:r w:rsidRPr="00791304">
          <w:rPr>
            <w:rStyle w:val="Hyperlink"/>
            <w:szCs w:val="22"/>
          </w:rPr>
          <w:t>Warranted Environment Specification</w:t>
        </w:r>
      </w:hyperlink>
      <w:r w:rsidRPr="00791304">
        <w:rPr>
          <w:sz w:val="30"/>
        </w:rPr>
        <w:t> </w:t>
      </w:r>
      <w:r w:rsidRPr="00791304">
        <w:t>that defines environments and applications that are supported by the NHS England Identity and Access Management team.</w:t>
      </w:r>
    </w:p>
    <w:p w14:paraId="4BE63A91" w14:textId="0D87B585" w:rsidR="004E35F1" w:rsidRPr="00791304" w:rsidRDefault="004E35F1" w:rsidP="004E35F1">
      <w:pPr>
        <w:spacing w:after="0" w:line="259" w:lineRule="auto"/>
        <w:ind w:left="14" w:firstLine="0"/>
        <w:rPr>
          <w:sz w:val="30"/>
        </w:rPr>
      </w:pPr>
      <w:r w:rsidRPr="00791304">
        <w:t>If you are authenticating using any of the software or hardware listed below from the dates listed, authentication will fail and you will no longer be able to log in.</w:t>
      </w:r>
      <w:r w:rsidR="00000000">
        <w:rPr>
          <w:sz w:val="30"/>
        </w:rPr>
        <w:pict w14:anchorId="40E7EFDF">
          <v:rect id="_x0000_i1025" style="width:712.55pt;height:0" o:hrpct="0" o:hralign="center" o:hrstd="t" o:hr="t" fillcolor="#a0a0a0" stroked="f"/>
        </w:pict>
      </w:r>
    </w:p>
    <w:p w14:paraId="5A61B80C" w14:textId="77777777" w:rsidR="004E35F1" w:rsidRPr="00A5764C" w:rsidRDefault="004E35F1" w:rsidP="00EC26AF">
      <w:pPr>
        <w:spacing w:after="1" w:line="259" w:lineRule="auto"/>
        <w:ind w:left="-5"/>
        <w:rPr>
          <w:rStyle w:val="Strong"/>
          <w:color w:val="auto"/>
          <w:kern w:val="0"/>
          <w:szCs w:val="22"/>
          <w14:ligatures w14:val="none"/>
        </w:rPr>
      </w:pPr>
      <w:r w:rsidRPr="00A5764C">
        <w:rPr>
          <w:rStyle w:val="Strong"/>
          <w:color w:val="auto"/>
          <w:kern w:val="0"/>
          <w:szCs w:val="22"/>
          <w14:ligatures w14:val="none"/>
        </w:rPr>
        <w:t>Retired Identity Agent versions</w:t>
      </w:r>
    </w:p>
    <w:p w14:paraId="71DE895C" w14:textId="77777777" w:rsidR="004E35F1" w:rsidRPr="00791304" w:rsidRDefault="004E35F1" w:rsidP="004E35F1">
      <w:pPr>
        <w:spacing w:after="0" w:line="259" w:lineRule="auto"/>
        <w:ind w:left="14" w:firstLine="0"/>
        <w:rPr>
          <w:szCs w:val="22"/>
        </w:rPr>
      </w:pPr>
      <w:r w:rsidRPr="00791304">
        <w:t>The following versions of Identity Agent will be blocked from authentication on </w:t>
      </w:r>
      <w:r w:rsidRPr="00791304">
        <w:rPr>
          <w:b/>
          <w:bCs/>
        </w:rPr>
        <w:t>31</w:t>
      </w:r>
      <w:r w:rsidRPr="00791304">
        <w:rPr>
          <w:b/>
          <w:bCs/>
          <w:szCs w:val="22"/>
        </w:rPr>
        <w:t xml:space="preserve"> March 2026</w:t>
      </w:r>
      <w:r w:rsidRPr="00791304">
        <w:rPr>
          <w:szCs w:val="22"/>
        </w:rPr>
        <w:t>:</w:t>
      </w:r>
    </w:p>
    <w:p w14:paraId="014888EF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BT Identity Agent v13</w:t>
      </w:r>
    </w:p>
    <w:p w14:paraId="359418AE" w14:textId="3FC19224" w:rsidR="004E35F1" w:rsidRPr="00904A9F" w:rsidRDefault="004E35F1" w:rsidP="00904A9F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NHS Digital v1</w:t>
      </w:r>
      <w:r w:rsidR="00904A9F" w:rsidRPr="00904A9F">
        <w:rPr>
          <w:sz w:val="18"/>
          <w:szCs w:val="18"/>
        </w:rPr>
        <w:t xml:space="preserve"> &amp; NHS Digital v2</w:t>
      </w:r>
    </w:p>
    <w:p w14:paraId="0D83AAAC" w14:textId="66B1A221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2.1.2.16</w:t>
      </w:r>
      <w:r w:rsidRPr="00904A9F">
        <w:rPr>
          <w:sz w:val="18"/>
          <w:szCs w:val="18"/>
        </w:rPr>
        <w:tab/>
      </w:r>
      <w:r w:rsidRPr="00904A9F">
        <w:rPr>
          <w:sz w:val="18"/>
          <w:szCs w:val="18"/>
        </w:rPr>
        <w:tab/>
      </w:r>
    </w:p>
    <w:p w14:paraId="0F374BB3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2.2.1.0</w:t>
      </w:r>
    </w:p>
    <w:p w14:paraId="575FC2E1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2.2.2.0</w:t>
      </w:r>
    </w:p>
    <w:p w14:paraId="0FC41C11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2.2.3.7</w:t>
      </w:r>
    </w:p>
    <w:p w14:paraId="717561FC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2.2.3.9</w:t>
      </w:r>
    </w:p>
    <w:p w14:paraId="3F3CE806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2.3.0.0</w:t>
      </w:r>
    </w:p>
    <w:p w14:paraId="1E9E022D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2.3.2.0</w:t>
      </w:r>
    </w:p>
    <w:p w14:paraId="2EC64394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2.4.5.0</w:t>
      </w:r>
    </w:p>
    <w:p w14:paraId="071B4655" w14:textId="77777777" w:rsidR="004E35F1" w:rsidRPr="00904A9F" w:rsidRDefault="004E35F1" w:rsidP="004E35F1">
      <w:pPr>
        <w:numPr>
          <w:ilvl w:val="0"/>
          <w:numId w:val="3"/>
        </w:numPr>
        <w:spacing w:after="0" w:line="259" w:lineRule="auto"/>
        <w:rPr>
          <w:sz w:val="18"/>
          <w:szCs w:val="18"/>
        </w:rPr>
      </w:pPr>
      <w:r w:rsidRPr="00904A9F">
        <w:rPr>
          <w:sz w:val="18"/>
          <w:szCs w:val="18"/>
        </w:rPr>
        <w:t>2.4.6.0</w:t>
      </w:r>
    </w:p>
    <w:p w14:paraId="2AB13F00" w14:textId="77777777" w:rsidR="004E35F1" w:rsidRPr="00E761A1" w:rsidRDefault="004E35F1" w:rsidP="004E35F1">
      <w:pPr>
        <w:pStyle w:val="Heading2"/>
        <w:rPr>
          <w:rFonts w:ascii="Calibri" w:hAnsi="Calibri" w:cs="Calibri"/>
          <w:color w:val="231F20"/>
          <w:sz w:val="22"/>
          <w:szCs w:val="22"/>
        </w:rPr>
      </w:pPr>
      <w:r w:rsidRPr="00E761A1">
        <w:rPr>
          <w:rFonts w:ascii="Calibri" w:hAnsi="Calibri" w:cs="Calibri"/>
          <w:color w:val="231F20"/>
          <w:sz w:val="22"/>
          <w:szCs w:val="22"/>
        </w:rPr>
        <w:lastRenderedPageBreak/>
        <w:t>Retired smartcards</w:t>
      </w:r>
    </w:p>
    <w:p w14:paraId="6CCAAAEE" w14:textId="77777777" w:rsidR="004E35F1" w:rsidRPr="00E761A1" w:rsidRDefault="004E35F1" w:rsidP="004E35F1">
      <w:pPr>
        <w:rPr>
          <w:szCs w:val="22"/>
        </w:rPr>
      </w:pPr>
    </w:p>
    <w:tbl>
      <w:tblPr>
        <w:tblW w:w="9072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552"/>
        <w:gridCol w:w="2551"/>
      </w:tblGrid>
      <w:tr w:rsidR="004E35F1" w:rsidRPr="00E761A1" w14:paraId="54B085AF" w14:textId="77777777" w:rsidTr="00E761A1">
        <w:trPr>
          <w:trHeight w:val="296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C54B0" w14:textId="77777777" w:rsidR="004E35F1" w:rsidRPr="00E761A1" w:rsidRDefault="004E35F1">
            <w:pPr>
              <w:pStyle w:val="nhsd-t-body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761A1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Smartcard version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19B0E4" w14:textId="77777777" w:rsidR="004E35F1" w:rsidRPr="00E761A1" w:rsidRDefault="004E35F1">
            <w:pPr>
              <w:pStyle w:val="nhsd-t-body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761A1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Authentication block date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A3E335" w14:textId="77777777" w:rsidR="004E35F1" w:rsidRPr="00E761A1" w:rsidRDefault="004E35F1">
            <w:pPr>
              <w:rPr>
                <w:szCs w:val="22"/>
              </w:rPr>
            </w:pPr>
            <w:r w:rsidRPr="00E761A1">
              <w:rPr>
                <w:rStyle w:val="Strong"/>
                <w:szCs w:val="22"/>
              </w:rPr>
              <w:t>Certificate renewal blocked</w:t>
            </w: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5053EC" w14:textId="77777777" w:rsidR="004E35F1" w:rsidRPr="00E761A1" w:rsidRDefault="004E35F1">
            <w:pPr>
              <w:rPr>
                <w:szCs w:val="22"/>
              </w:rPr>
            </w:pPr>
            <w:r w:rsidRPr="00E761A1">
              <w:rPr>
                <w:rStyle w:val="Strong"/>
                <w:szCs w:val="22"/>
              </w:rPr>
              <w:t>Self-service and RA unlock blocked</w:t>
            </w:r>
          </w:p>
        </w:tc>
      </w:tr>
      <w:tr w:rsidR="004E35F1" w:rsidRPr="00E761A1" w14:paraId="0C26BBA1" w14:textId="77777777" w:rsidTr="00E761A1">
        <w:trPr>
          <w:trHeight w:val="841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057BA5" w14:textId="77777777" w:rsidR="004E35F1" w:rsidRPr="00E761A1" w:rsidRDefault="004E35F1">
            <w:pPr>
              <w:pStyle w:val="nhsd-t-body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761A1">
              <w:rPr>
                <w:rFonts w:ascii="Calibri" w:hAnsi="Calibri" w:cs="Calibri"/>
                <w:sz w:val="22"/>
                <w:szCs w:val="22"/>
              </w:rPr>
              <w:t>Series 4 (Gemplus), Series 5 (JCOP41) and Series 6 (JCOP 41)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652016" w14:textId="77777777" w:rsidR="004E35F1" w:rsidRPr="00E761A1" w:rsidRDefault="004E35F1">
            <w:pPr>
              <w:pStyle w:val="nhsd-t-body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761A1">
              <w:rPr>
                <w:rFonts w:ascii="Calibri" w:hAnsi="Calibri" w:cs="Calibri"/>
                <w:sz w:val="22"/>
                <w:szCs w:val="22"/>
              </w:rPr>
              <w:t>31 March 2026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8CE035" w14:textId="77777777" w:rsidR="004E35F1" w:rsidRPr="00E761A1" w:rsidRDefault="004E35F1">
            <w:pPr>
              <w:pStyle w:val="nhsd-t-body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761A1">
              <w:rPr>
                <w:rFonts w:ascii="Calibri" w:hAnsi="Calibri" w:cs="Calibri"/>
                <w:sz w:val="22"/>
                <w:szCs w:val="22"/>
              </w:rPr>
              <w:t>Q4 2025</w:t>
            </w: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822088" w14:textId="77777777" w:rsidR="004E35F1" w:rsidRPr="00E761A1" w:rsidRDefault="004E35F1">
            <w:pPr>
              <w:rPr>
                <w:szCs w:val="22"/>
              </w:rPr>
            </w:pPr>
            <w:r w:rsidRPr="00E761A1">
              <w:rPr>
                <w:szCs w:val="22"/>
              </w:rPr>
              <w:t>Q4 2025</w:t>
            </w:r>
          </w:p>
        </w:tc>
      </w:tr>
    </w:tbl>
    <w:p w14:paraId="44F8C822" w14:textId="77777777" w:rsidR="004E35F1" w:rsidRPr="00791304" w:rsidRDefault="004E35F1" w:rsidP="004E35F1">
      <w:pPr>
        <w:spacing w:after="0" w:line="259" w:lineRule="auto"/>
        <w:ind w:left="14" w:firstLine="0"/>
        <w:rPr>
          <w:sz w:val="30"/>
        </w:rPr>
      </w:pPr>
    </w:p>
    <w:p w14:paraId="1D463ABF" w14:textId="34089E80" w:rsidR="004E35F1" w:rsidRPr="00EC26AF" w:rsidRDefault="004E35F1" w:rsidP="00A5764C">
      <w:pPr>
        <w:spacing w:after="0" w:line="259" w:lineRule="auto"/>
        <w:ind w:left="14" w:firstLine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C26A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New Advice and Guidance Enhanced Service:  </w:t>
      </w:r>
    </w:p>
    <w:p w14:paraId="2A487E6A" w14:textId="38DDD213" w:rsidR="004E35F1" w:rsidRDefault="004E35F1" w:rsidP="004E35F1">
      <w:pPr>
        <w:ind w:left="9"/>
      </w:pPr>
      <w:r>
        <w:t xml:space="preserve">The service went live on 30 April </w:t>
      </w:r>
      <w:r w:rsidR="00904A9F">
        <w:t xml:space="preserve">, so </w:t>
      </w:r>
      <w:r>
        <w:t xml:space="preserve">responsible practice staff have access to the enhanced reporting on the NHS e-Referral Service (e-RS). </w:t>
      </w:r>
      <w:r w:rsidR="00C7091C">
        <w:t xml:space="preserve">RA has created </w:t>
      </w:r>
      <w:r>
        <w:t xml:space="preserve">a new </w:t>
      </w:r>
      <w:r w:rsidR="00C7091C">
        <w:t xml:space="preserve">Information analyst </w:t>
      </w:r>
      <w:r>
        <w:t>position in all GP practices and assign</w:t>
      </w:r>
      <w:r w:rsidR="00904A9F">
        <w:t>ed</w:t>
      </w:r>
      <w:r>
        <w:t xml:space="preserve"> smartcard access to relevant staff. Practice managers </w:t>
      </w:r>
      <w:r w:rsidR="00C7091C">
        <w:t>are advised to</w:t>
      </w:r>
      <w:r>
        <w:t xml:space="preserve"> log the </w:t>
      </w:r>
      <w:r w:rsidR="00C7091C">
        <w:t xml:space="preserve">position </w:t>
      </w:r>
      <w:r>
        <w:t xml:space="preserve">request via IT service desk.  </w:t>
      </w:r>
    </w:p>
    <w:p w14:paraId="5C627306" w14:textId="49B55AC8" w:rsidR="004E35F1" w:rsidRDefault="004E35F1" w:rsidP="00A5764C">
      <w:pPr>
        <w:spacing w:after="2" w:line="259" w:lineRule="auto"/>
        <w:ind w:left="14" w:firstLine="0"/>
      </w:pPr>
      <w:r>
        <w:t xml:space="preserve">  </w:t>
      </w:r>
    </w:p>
    <w:p w14:paraId="47E3A092" w14:textId="77777777" w:rsidR="004E35F1" w:rsidRDefault="004E35F1" w:rsidP="004E35F1">
      <w:pPr>
        <w:pStyle w:val="Heading2"/>
        <w:ind w:left="-5"/>
      </w:pPr>
      <w:r>
        <w:t xml:space="preserve">Moving from CIS1 Identity Agent to CIS2 Smartcard Connect  </w:t>
      </w:r>
    </w:p>
    <w:p w14:paraId="0293D064" w14:textId="30BE050F" w:rsidR="004E35F1" w:rsidRDefault="004E35F1" w:rsidP="004E35F1">
      <w:pPr>
        <w:ind w:left="9"/>
      </w:pPr>
      <w:r>
        <w:t>NHS CIS1 Identity Agent will no longer be supported from February 2027, and all organisations will need to use NHS CIS2 Smartcard Connect from that date.</w:t>
      </w:r>
      <w:r>
        <w:rPr>
          <w:rFonts w:ascii="Arial" w:eastAsia="Arial" w:hAnsi="Arial" w:cs="Arial"/>
          <w:color w:val="3F525F"/>
          <w:sz w:val="27"/>
        </w:rPr>
        <w:t xml:space="preserve"> </w:t>
      </w:r>
      <w:r>
        <w:t xml:space="preserve">As of November 2024, there are no planned or anticipated additional functionality or fixes to any of the NHS CIS1 Identity Agent versions currently supported.   </w:t>
      </w:r>
    </w:p>
    <w:p w14:paraId="7BAE4D83" w14:textId="535DAD2C" w:rsidR="004E35F1" w:rsidRDefault="004E35F1" w:rsidP="004E35F1">
      <w:pPr>
        <w:ind w:left="9"/>
      </w:pPr>
      <w:r>
        <w:t xml:space="preserve">The following NHS Identity Agent versions (including all previous versions) are deprecated, meaning they will no longer be supported and are expected to be retired from February 2027:  </w:t>
      </w:r>
    </w:p>
    <w:p w14:paraId="68E09BD7" w14:textId="77777777" w:rsidR="004E35F1" w:rsidRDefault="004E35F1" w:rsidP="004E35F1">
      <w:pPr>
        <w:numPr>
          <w:ilvl w:val="0"/>
          <w:numId w:val="1"/>
        </w:numPr>
        <w:ind w:right="3686" w:hanging="360"/>
      </w:pPr>
      <w:r>
        <w:t xml:space="preserve">v2.4.5.0    </w:t>
      </w:r>
    </w:p>
    <w:p w14:paraId="0BC7849D" w14:textId="77777777" w:rsidR="004E35F1" w:rsidRDefault="004E35F1" w:rsidP="004E35F1">
      <w:pPr>
        <w:numPr>
          <w:ilvl w:val="0"/>
          <w:numId w:val="1"/>
        </w:numPr>
        <w:ind w:right="3686" w:hanging="360"/>
      </w:pPr>
      <w:r>
        <w:t xml:space="preserve">v2.4.6.0  </w:t>
      </w:r>
    </w:p>
    <w:p w14:paraId="616D38D6" w14:textId="06E05474" w:rsidR="004E35F1" w:rsidRDefault="004E35F1" w:rsidP="004E35F1">
      <w:pPr>
        <w:spacing w:after="2" w:line="259" w:lineRule="auto"/>
        <w:ind w:left="14" w:firstLine="0"/>
      </w:pPr>
    </w:p>
    <w:p w14:paraId="25D694E0" w14:textId="5AC3360E" w:rsidR="004E35F1" w:rsidRDefault="004E35F1" w:rsidP="004E35F1">
      <w:pPr>
        <w:spacing w:after="2" w:line="259" w:lineRule="auto"/>
        <w:ind w:left="14" w:firstLine="0"/>
      </w:pPr>
      <w:r>
        <w:t xml:space="preserve">More info @ </w:t>
      </w:r>
      <w:hyperlink r:id="rId7" w:history="1">
        <w:r w:rsidRPr="004E35F1">
          <w:rPr>
            <w:rStyle w:val="Hyperlink"/>
          </w:rPr>
          <w:t>Moving from CIS1 Identity Agent to CIS2 Smartcard Connect - NHS England Digital</w:t>
        </w:r>
      </w:hyperlink>
    </w:p>
    <w:p w14:paraId="242E6F7B" w14:textId="77777777" w:rsidR="00E761A1" w:rsidRDefault="00E761A1" w:rsidP="00E761A1">
      <w:pPr>
        <w:spacing w:after="215" w:line="259" w:lineRule="auto"/>
        <w:rPr>
          <w:rFonts w:ascii="Arial" w:eastAsia="Arial" w:hAnsi="Arial" w:cs="Arial"/>
          <w:b/>
          <w:sz w:val="27"/>
        </w:rPr>
      </w:pPr>
    </w:p>
    <w:p w14:paraId="44FE6C8B" w14:textId="14BBA830" w:rsidR="004E35F1" w:rsidRDefault="004E35F1" w:rsidP="00E761A1">
      <w:pPr>
        <w:spacing w:after="215" w:line="259" w:lineRule="auto"/>
      </w:pPr>
      <w:r>
        <w:rPr>
          <w:sz w:val="32"/>
        </w:rPr>
        <w:t xml:space="preserve">Ray </w:t>
      </w:r>
      <w:r w:rsidR="00E761A1">
        <w:rPr>
          <w:sz w:val="32"/>
        </w:rPr>
        <w:t>Adeniyi</w:t>
      </w:r>
      <w:r>
        <w:rPr>
          <w:sz w:val="32"/>
        </w:rPr>
        <w:t xml:space="preserve"> </w:t>
      </w:r>
      <w:r w:rsidR="00E761A1">
        <w:rPr>
          <w:sz w:val="32"/>
        </w:rPr>
        <w:t xml:space="preserve">, </w:t>
      </w:r>
      <w:r>
        <w:rPr>
          <w:sz w:val="32"/>
        </w:rPr>
        <w:t xml:space="preserve">RA Manager – NHS North East London   </w:t>
      </w:r>
    </w:p>
    <w:p w14:paraId="6F96E1F1" w14:textId="77777777" w:rsidR="004E35F1" w:rsidRDefault="004E35F1" w:rsidP="004E35F1">
      <w:pPr>
        <w:spacing w:after="315" w:line="259" w:lineRule="auto"/>
        <w:ind w:left="375" w:firstLine="0"/>
      </w:pPr>
      <w:r>
        <w:rPr>
          <w:rFonts w:ascii="Arial" w:eastAsia="Arial" w:hAnsi="Arial" w:cs="Arial"/>
          <w:color w:val="D70B8C"/>
          <w:sz w:val="20"/>
        </w:rPr>
        <w:t xml:space="preserve"> </w:t>
      </w:r>
      <w:r>
        <w:rPr>
          <w:rFonts w:ascii="Arial" w:eastAsia="Arial" w:hAnsi="Arial" w:cs="Arial"/>
          <w:color w:val="FFFFFF"/>
        </w:rPr>
        <w:t xml:space="preserve"> </w:t>
      </w:r>
      <w:r>
        <w:t xml:space="preserve"> </w:t>
      </w:r>
    </w:p>
    <w:p w14:paraId="134DEB0E" w14:textId="77777777" w:rsidR="001749AD" w:rsidRPr="001749AD" w:rsidRDefault="001749AD">
      <w:pPr>
        <w:rPr>
          <w:rFonts w:ascii="Arial" w:hAnsi="Arial" w:cs="Arial"/>
          <w:szCs w:val="22"/>
        </w:rPr>
      </w:pPr>
    </w:p>
    <w:sectPr w:rsidR="001749AD" w:rsidRPr="001749AD" w:rsidSect="004E35F1">
      <w:pgSz w:w="11899" w:h="16838"/>
      <w:pgMar w:top="876" w:right="1483" w:bottom="136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89D"/>
    <w:multiLevelType w:val="hybridMultilevel"/>
    <w:tmpl w:val="E9224136"/>
    <w:lvl w:ilvl="0" w:tplc="3684C84A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BD4A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6C618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ABC2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CE99D0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26396C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5AFF5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A8B6A6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2F07C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90C3C"/>
    <w:multiLevelType w:val="hybridMultilevel"/>
    <w:tmpl w:val="144289D6"/>
    <w:lvl w:ilvl="0" w:tplc="6F1C0FDA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10FB80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FC4786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069B6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5E8C9A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84396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649E5C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21ABA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6BC4A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94B88"/>
    <w:multiLevelType w:val="multilevel"/>
    <w:tmpl w:val="BC2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104332">
    <w:abstractNumId w:val="0"/>
  </w:num>
  <w:num w:numId="2" w16cid:durableId="1913538561">
    <w:abstractNumId w:val="1"/>
  </w:num>
  <w:num w:numId="3" w16cid:durableId="157203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F1"/>
    <w:rsid w:val="001749AD"/>
    <w:rsid w:val="002A73D9"/>
    <w:rsid w:val="002B1CE1"/>
    <w:rsid w:val="004811B4"/>
    <w:rsid w:val="004E35F1"/>
    <w:rsid w:val="00503629"/>
    <w:rsid w:val="00654063"/>
    <w:rsid w:val="00904A9F"/>
    <w:rsid w:val="00A14701"/>
    <w:rsid w:val="00A239E7"/>
    <w:rsid w:val="00A5764C"/>
    <w:rsid w:val="00C7091C"/>
    <w:rsid w:val="00CB54C0"/>
    <w:rsid w:val="00DD5D78"/>
    <w:rsid w:val="00E761A1"/>
    <w:rsid w:val="00E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DD8B"/>
  <w15:chartTrackingRefBased/>
  <w15:docId w15:val="{4841AD68-C482-4DFD-8F22-B2EBA782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F1"/>
    <w:pPr>
      <w:spacing w:after="5" w:line="252" w:lineRule="auto"/>
      <w:ind w:left="10" w:hanging="10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A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35F1"/>
    <w:rPr>
      <w:color w:val="467886" w:themeColor="hyperlink"/>
      <w:u w:val="single"/>
    </w:rPr>
  </w:style>
  <w:style w:type="paragraph" w:customStyle="1" w:styleId="nhsd-t-body">
    <w:name w:val="nhsd-t-body"/>
    <w:basedOn w:val="Normal"/>
    <w:rsid w:val="004E35F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4E35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3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.nhs.uk/services/care-identity-service/latest-news/moving-from-cis1-identity-agent-to-cis2-smartcard-conn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.nhs.uk/services/spine/spine-technical-information-warrantied-environment-specification-w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550</Words>
  <Characters>3019</Characters>
  <Application>Microsoft Office Word</Application>
  <DocSecurity>0</DocSecurity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ADENIYI, Raymond (NHS NORTH EAST LONDON ICB - A3A8R)</dc:creator>
  <cp:keywords/>
  <dc:description/>
  <cp:lastModifiedBy>ADENIYI, Raymond (NHS NORTH EAST LONDON ICB - A3A8R)</cp:lastModifiedBy>
  <cp:revision>4</cp:revision>
  <dcterms:created xsi:type="dcterms:W3CDTF">2025-11-26T10:27:00Z</dcterms:created>
  <dcterms:modified xsi:type="dcterms:W3CDTF">2025-12-08T10:20:00Z</dcterms:modified>
</cp:coreProperties>
</file>