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D106" w14:textId="77777777" w:rsidR="00862BAE" w:rsidRDefault="00862BAE" w:rsidP="00862BAE">
      <w:pPr>
        <w:pStyle w:val="Header"/>
      </w:pP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D03137" w14:paraId="705E4E8D" w14:textId="77777777" w:rsidTr="00D03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3F63BD34" w14:textId="77777777" w:rsidR="00D03137" w:rsidRPr="00D03137" w:rsidRDefault="00812327" w:rsidP="00D16B2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 w:val="0"/>
                <w:bCs w:val="0"/>
                <w:kern w:val="36"/>
                <w:sz w:val="24"/>
                <w:szCs w:val="24"/>
                <w:lang w:eastAsia="en-GB"/>
              </w:rPr>
            </w:pPr>
            <w:r w:rsidRPr="00812327">
              <w:rPr>
                <w:rFonts w:ascii="Arial" w:eastAsia="Times New Roman" w:hAnsi="Arial" w:cs="Arial"/>
                <w:kern w:val="36"/>
                <w:sz w:val="36"/>
                <w:szCs w:val="24"/>
                <w:lang w:eastAsia="en-GB"/>
              </w:rPr>
              <w:t>NEL Primary Care Medicines Optimisation Induction Webinar</w:t>
            </w:r>
          </w:p>
        </w:tc>
      </w:tr>
      <w:tr w:rsidR="00D03137" w14:paraId="157E26A6" w14:textId="77777777" w:rsidTr="00D03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6CF86F2E" w14:textId="77777777" w:rsidR="00812327" w:rsidRPr="00812327" w:rsidRDefault="00474781" w:rsidP="00812327">
            <w:pPr>
              <w:rPr>
                <w:rFonts w:ascii="Aptos" w:hAnsi="Aptos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We are pleased to invite new P</w:t>
            </w:r>
            <w:r w:rsidR="00812327" w:rsidRPr="00812327">
              <w:rPr>
                <w:rFonts w:ascii="Arial" w:hAnsi="Arial" w:cs="Arial"/>
                <w:b w:val="0"/>
                <w:sz w:val="24"/>
              </w:rPr>
              <w:t>ractice and PCN staff to attend the upcoming NEL Primary Care Medicines Optimisation Induction Webinar</w:t>
            </w:r>
            <w:r w:rsidR="00812327" w:rsidRPr="00812327">
              <w:rPr>
                <w:rFonts w:ascii="Arial" w:hAnsi="Arial" w:cs="Arial"/>
                <w:b w:val="0"/>
                <w:color w:val="1F497D"/>
                <w:sz w:val="24"/>
              </w:rPr>
              <w:t>s</w:t>
            </w:r>
            <w:r w:rsidR="00812327" w:rsidRPr="00812327">
              <w:rPr>
                <w:rFonts w:ascii="Arial" w:hAnsi="Arial" w:cs="Arial"/>
                <w:b w:val="0"/>
                <w:sz w:val="24"/>
              </w:rPr>
              <w:t xml:space="preserve">, organised by the </w:t>
            </w:r>
            <w:proofErr w:type="gramStart"/>
            <w:r w:rsidR="00812327" w:rsidRPr="00812327">
              <w:rPr>
                <w:rFonts w:ascii="Arial" w:hAnsi="Arial" w:cs="Arial"/>
                <w:b w:val="0"/>
                <w:sz w:val="24"/>
              </w:rPr>
              <w:t>North East</w:t>
            </w:r>
            <w:proofErr w:type="gramEnd"/>
            <w:r w:rsidR="00812327" w:rsidRPr="00812327">
              <w:rPr>
                <w:rFonts w:ascii="Arial" w:hAnsi="Arial" w:cs="Arial"/>
                <w:b w:val="0"/>
                <w:sz w:val="24"/>
              </w:rPr>
              <w:t xml:space="preserve"> London Pharmacy and Medicines Optimisation Team. Th</w:t>
            </w:r>
            <w:r>
              <w:rPr>
                <w:rFonts w:ascii="Arial" w:hAnsi="Arial" w:cs="Arial"/>
                <w:b w:val="0"/>
                <w:sz w:val="24"/>
              </w:rPr>
              <w:t>ese</w:t>
            </w:r>
            <w:r w:rsidR="00812327" w:rsidRPr="00812327">
              <w:rPr>
                <w:rFonts w:ascii="Arial" w:hAnsi="Arial" w:cs="Arial"/>
                <w:b w:val="0"/>
                <w:sz w:val="24"/>
              </w:rPr>
              <w:t xml:space="preserve"> session</w:t>
            </w:r>
            <w:r>
              <w:rPr>
                <w:rFonts w:ascii="Arial" w:hAnsi="Arial" w:cs="Arial"/>
                <w:b w:val="0"/>
                <w:sz w:val="24"/>
              </w:rPr>
              <w:t>s are</w:t>
            </w:r>
            <w:r w:rsidR="00812327" w:rsidRPr="00812327">
              <w:rPr>
                <w:rFonts w:ascii="Arial" w:hAnsi="Arial" w:cs="Arial"/>
                <w:b w:val="0"/>
                <w:sz w:val="24"/>
              </w:rPr>
              <w:t xml:space="preserve"> designed especially for new clinicians, prescribers, practice staff, and allied health professionals, and will provide you with essential information to help you get started with medicines optimisation in primary care.</w:t>
            </w:r>
          </w:p>
          <w:p w14:paraId="11CE3093" w14:textId="77777777" w:rsidR="00812327" w:rsidRPr="00812327" w:rsidRDefault="00812327" w:rsidP="00812327">
            <w:pPr>
              <w:rPr>
                <w:rFonts w:ascii="Aptos" w:hAnsi="Aptos"/>
                <w:b w:val="0"/>
                <w:sz w:val="24"/>
              </w:rPr>
            </w:pPr>
            <w:r w:rsidRPr="00812327">
              <w:rPr>
                <w:rFonts w:ascii="Arial" w:hAnsi="Arial" w:cs="Arial"/>
                <w:b w:val="0"/>
                <w:sz w:val="24"/>
              </w:rPr>
              <w:t> </w:t>
            </w:r>
          </w:p>
          <w:p w14:paraId="2E2A2A6E" w14:textId="77777777" w:rsidR="00812327" w:rsidRDefault="00812327" w:rsidP="00812327">
            <w:pPr>
              <w:rPr>
                <w:rFonts w:ascii="Arial" w:hAnsi="Arial" w:cs="Arial"/>
                <w:b w:val="0"/>
                <w:sz w:val="24"/>
              </w:rPr>
            </w:pPr>
            <w:r w:rsidRPr="00812327">
              <w:rPr>
                <w:rFonts w:ascii="Arial" w:hAnsi="Arial" w:cs="Arial"/>
                <w:b w:val="0"/>
                <w:sz w:val="24"/>
              </w:rPr>
              <w:t xml:space="preserve">Please feel free to forward this </w:t>
            </w:r>
            <w:r w:rsidR="00474781">
              <w:rPr>
                <w:rFonts w:ascii="Arial" w:hAnsi="Arial" w:cs="Arial"/>
                <w:b w:val="0"/>
                <w:sz w:val="24"/>
              </w:rPr>
              <w:t>invite</w:t>
            </w:r>
            <w:r w:rsidRPr="00812327">
              <w:rPr>
                <w:rFonts w:ascii="Arial" w:hAnsi="Arial" w:cs="Arial"/>
                <w:b w:val="0"/>
                <w:sz w:val="24"/>
              </w:rPr>
              <w:t xml:space="preserve"> onto new starters within your practice</w:t>
            </w:r>
            <w:r w:rsidR="00474781">
              <w:rPr>
                <w:rFonts w:ascii="Arial" w:hAnsi="Arial" w:cs="Arial"/>
                <w:b w:val="0"/>
                <w:sz w:val="24"/>
              </w:rPr>
              <w:t xml:space="preserve"> / PCN</w:t>
            </w:r>
            <w:r w:rsidRPr="00812327">
              <w:rPr>
                <w:rFonts w:ascii="Arial" w:hAnsi="Arial" w:cs="Arial"/>
                <w:b w:val="0"/>
                <w:sz w:val="24"/>
              </w:rPr>
              <w:t>.</w:t>
            </w:r>
          </w:p>
          <w:p w14:paraId="22AA8C30" w14:textId="77777777" w:rsidR="00C4727B" w:rsidRDefault="00C4727B" w:rsidP="00812327">
            <w:pPr>
              <w:rPr>
                <w:rFonts w:ascii="Arial" w:hAnsi="Arial" w:cs="Arial"/>
                <w:b w:val="0"/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2"/>
              <w:gridCol w:w="755"/>
              <w:gridCol w:w="4552"/>
            </w:tblGrid>
            <w:tr w:rsidR="00C4727B" w:rsidRPr="00812327" w14:paraId="2133672A" w14:textId="77777777" w:rsidTr="002F1220">
              <w:trPr>
                <w:jc w:val="center"/>
              </w:trPr>
              <w:tc>
                <w:tcPr>
                  <w:tcW w:w="448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0D932" w14:textId="77777777" w:rsidR="00C4727B" w:rsidRPr="00812327" w:rsidRDefault="00C4727B" w:rsidP="002F1220">
                  <w:pPr>
                    <w:rPr>
                      <w:rFonts w:ascii="Calibri" w:hAnsi="Calibri" w:cs="Calibri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🗓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Date: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2</w:t>
                  </w:r>
                  <w:r w:rsidRPr="00812327">
                    <w:rPr>
                      <w:rFonts w:ascii="Arial" w:hAnsi="Arial" w:cs="Arial"/>
                      <w:sz w:val="24"/>
                      <w:vertAlign w:val="superscript"/>
                    </w:rPr>
                    <w:t>nd</w:t>
                  </w:r>
                  <w:r w:rsidRPr="00812327">
                    <w:rPr>
                      <w:rFonts w:ascii="Arial" w:hAnsi="Arial" w:cs="Arial"/>
                      <w:sz w:val="24"/>
                    </w:rPr>
                    <w:t xml:space="preserve"> December 2025</w:t>
                  </w:r>
                </w:p>
              </w:tc>
              <w:tc>
                <w:tcPr>
                  <w:tcW w:w="75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8F8C6" w14:textId="77777777" w:rsidR="00C4727B" w:rsidRPr="00812327" w:rsidRDefault="00C4727B" w:rsidP="002F1220">
                  <w:pPr>
                    <w:rPr>
                      <w:rFonts w:ascii="Calibri" w:hAnsi="Calibri" w:cs="Calibri"/>
                      <w:sz w:val="24"/>
                    </w:rPr>
                  </w:pPr>
                </w:p>
                <w:p w14:paraId="04DCCB2E" w14:textId="77777777" w:rsidR="00C4727B" w:rsidRPr="003D532F" w:rsidRDefault="00C4727B" w:rsidP="002F1220">
                  <w:pPr>
                    <w:jc w:val="center"/>
                    <w:rPr>
                      <w:rFonts w:ascii="Calibri" w:hAnsi="Calibri" w:cs="Calibri"/>
                      <w:b/>
                      <w:sz w:val="24"/>
                      <w:u w:val="single"/>
                    </w:rPr>
                  </w:pPr>
                  <w:r w:rsidRPr="003D532F">
                    <w:rPr>
                      <w:rFonts w:ascii="Calibri" w:hAnsi="Calibri" w:cs="Calibri"/>
                      <w:b/>
                      <w:sz w:val="24"/>
                      <w:u w:val="single"/>
                    </w:rPr>
                    <w:t>OR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B51F2" w14:textId="77777777" w:rsidR="00C4727B" w:rsidRPr="00812327" w:rsidRDefault="00C4727B" w:rsidP="002F1220">
                  <w:pPr>
                    <w:rPr>
                      <w:rFonts w:ascii="Calibri" w:hAnsi="Calibri" w:cs="Calibri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🗓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Date: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29</w:t>
                  </w:r>
                  <w:r w:rsidRPr="00812327">
                    <w:rPr>
                      <w:rFonts w:ascii="Arial" w:hAnsi="Arial" w:cs="Arial"/>
                      <w:sz w:val="24"/>
                      <w:vertAlign w:val="superscript"/>
                    </w:rPr>
                    <w:t>th</w:t>
                  </w:r>
                  <w:r w:rsidRPr="00812327">
                    <w:rPr>
                      <w:rFonts w:ascii="Arial" w:hAnsi="Arial" w:cs="Arial"/>
                      <w:sz w:val="24"/>
                    </w:rPr>
                    <w:t xml:space="preserve"> January 202</w:t>
                  </w:r>
                  <w:r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</w:tr>
            <w:tr w:rsidR="00C4727B" w:rsidRPr="00812327" w14:paraId="7C6CA0FD" w14:textId="77777777" w:rsidTr="002F1220">
              <w:trPr>
                <w:jc w:val="center"/>
              </w:trPr>
              <w:tc>
                <w:tcPr>
                  <w:tcW w:w="4482" w:type="dxa"/>
                  <w:tcBorders>
                    <w:top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97D37" w14:textId="77777777" w:rsidR="00C4727B" w:rsidRPr="00812327" w:rsidRDefault="00C4727B" w:rsidP="002F1220">
                  <w:pPr>
                    <w:rPr>
                      <w:rFonts w:ascii="Calibri" w:hAnsi="Calibri" w:cs="Calibri"/>
                      <w:color w:val="1F497D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🕐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Time: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1pm – 2pm</w:t>
                  </w:r>
                </w:p>
              </w:tc>
              <w:tc>
                <w:tcPr>
                  <w:tcW w:w="7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58159" w14:textId="77777777" w:rsidR="00C4727B" w:rsidRPr="00812327" w:rsidRDefault="00C4727B" w:rsidP="002F1220">
                  <w:pPr>
                    <w:rPr>
                      <w:rFonts w:ascii="Calibri" w:hAnsi="Calibri" w:cs="Calibri"/>
                      <w:sz w:val="24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FE90F" w14:textId="77777777" w:rsidR="00C4727B" w:rsidRPr="00812327" w:rsidRDefault="00C4727B" w:rsidP="002F1220">
                  <w:pPr>
                    <w:rPr>
                      <w:rFonts w:ascii="Calibri" w:hAnsi="Calibri" w:cs="Calibri"/>
                      <w:color w:val="1F497D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🕐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Time: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1pm – 2pm</w:t>
                  </w:r>
                </w:p>
              </w:tc>
            </w:tr>
            <w:tr w:rsidR="00C4727B" w:rsidRPr="00812327" w14:paraId="228BC799" w14:textId="77777777" w:rsidTr="002F1220">
              <w:trPr>
                <w:jc w:val="center"/>
              </w:trPr>
              <w:tc>
                <w:tcPr>
                  <w:tcW w:w="448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69011E" w14:textId="77777777" w:rsidR="00C4727B" w:rsidRPr="00812327" w:rsidRDefault="00C4727B" w:rsidP="002F1220">
                  <w:pPr>
                    <w:rPr>
                      <w:rFonts w:ascii="Arial" w:hAnsi="Arial" w:cs="Arial"/>
                      <w:color w:val="1F497D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🔗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Teams link: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</w:t>
                  </w:r>
                  <w:hyperlink r:id="rId7" w:history="1">
                    <w:r w:rsidRPr="00812327">
                      <w:rPr>
                        <w:rStyle w:val="Hyperlink"/>
                        <w:rFonts w:ascii="Arial" w:hAnsi="Arial" w:cs="Arial"/>
                        <w:sz w:val="24"/>
                      </w:rPr>
                      <w:t>Join the meeting here</w:t>
                    </w:r>
                  </w:hyperlink>
                </w:p>
              </w:tc>
              <w:tc>
                <w:tcPr>
                  <w:tcW w:w="7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5CDBCD" w14:textId="77777777" w:rsidR="00C4727B" w:rsidRPr="00812327" w:rsidRDefault="00C4727B" w:rsidP="002F1220">
                  <w:pPr>
                    <w:rPr>
                      <w:rFonts w:ascii="Calibri" w:hAnsi="Calibri" w:cs="Calibri"/>
                      <w:sz w:val="24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923B5" w14:textId="77777777" w:rsidR="00C4727B" w:rsidRPr="00812327" w:rsidRDefault="00C4727B" w:rsidP="002F1220">
                  <w:pPr>
                    <w:rPr>
                      <w:rFonts w:ascii="Arial" w:hAnsi="Arial" w:cs="Arial"/>
                      <w:color w:val="1F497D"/>
                      <w:sz w:val="24"/>
                    </w:rPr>
                  </w:pPr>
                  <w:r w:rsidRPr="00812327">
                    <w:rPr>
                      <w:rFonts w:ascii="Segoe UI Emoji" w:hAnsi="Segoe UI Emoji"/>
                      <w:b/>
                      <w:bCs/>
                      <w:sz w:val="24"/>
                    </w:rPr>
                    <w:t>🔗</w:t>
                  </w:r>
                  <w:r w:rsidRPr="00812327">
                    <w:rPr>
                      <w:rFonts w:ascii="Arial" w:hAnsi="Arial" w:cs="Arial"/>
                      <w:b/>
                      <w:bCs/>
                      <w:sz w:val="24"/>
                    </w:rPr>
                    <w:t> Teams link:</w:t>
                  </w:r>
                  <w:r w:rsidRPr="00812327">
                    <w:rPr>
                      <w:rFonts w:ascii="Arial" w:hAnsi="Arial" w:cs="Arial"/>
                      <w:sz w:val="24"/>
                    </w:rPr>
                    <w:t> </w:t>
                  </w:r>
                  <w:hyperlink r:id="rId8" w:history="1">
                    <w:r w:rsidRPr="00812327">
                      <w:rPr>
                        <w:rStyle w:val="Hyperlink"/>
                        <w:rFonts w:ascii="Arial" w:hAnsi="Arial" w:cs="Arial"/>
                        <w:sz w:val="24"/>
                      </w:rPr>
                      <w:t>Join the meeting here</w:t>
                    </w:r>
                  </w:hyperlink>
                </w:p>
              </w:tc>
            </w:tr>
          </w:tbl>
          <w:p w14:paraId="6775012F" w14:textId="77777777" w:rsidR="00C4727B" w:rsidRDefault="00C4727B" w:rsidP="00812327">
            <w:pPr>
              <w:rPr>
                <w:rFonts w:ascii="Arial" w:hAnsi="Arial" w:cs="Arial"/>
                <w:b w:val="0"/>
                <w:sz w:val="24"/>
              </w:rPr>
            </w:pPr>
          </w:p>
          <w:p w14:paraId="0EBB68A8" w14:textId="77777777" w:rsidR="00812327" w:rsidRPr="00812327" w:rsidRDefault="00812327" w:rsidP="00812327">
            <w:pPr>
              <w:rPr>
                <w:rFonts w:ascii="Aptos" w:hAnsi="Aptos"/>
                <w:sz w:val="24"/>
              </w:rPr>
            </w:pPr>
            <w:r w:rsidRPr="00812327">
              <w:rPr>
                <w:rFonts w:ascii="Arial" w:hAnsi="Arial" w:cs="Arial"/>
                <w:bCs w:val="0"/>
                <w:sz w:val="24"/>
              </w:rPr>
              <w:t>What to expect:</w:t>
            </w:r>
          </w:p>
          <w:p w14:paraId="46AA9CD1" w14:textId="77777777" w:rsidR="00812327" w:rsidRPr="00812327" w:rsidRDefault="00812327" w:rsidP="00812327">
            <w:pPr>
              <w:numPr>
                <w:ilvl w:val="0"/>
                <w:numId w:val="12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A friendly introduction to the NEL Pharmacy and Medicines Optimisation Team and how we support you.</w:t>
            </w:r>
          </w:p>
          <w:p w14:paraId="1A4EE913" w14:textId="77777777" w:rsidR="00812327" w:rsidRPr="00812327" w:rsidRDefault="00812327" w:rsidP="00812327">
            <w:pPr>
              <w:numPr>
                <w:ilvl w:val="0"/>
                <w:numId w:val="12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 xml:space="preserve">Overview of key elements of medicines optimisation in </w:t>
            </w:r>
            <w:proofErr w:type="gramStart"/>
            <w:r w:rsidRPr="00812327">
              <w:rPr>
                <w:rFonts w:ascii="Arial" w:eastAsia="Times New Roman" w:hAnsi="Arial" w:cs="Arial"/>
                <w:b w:val="0"/>
                <w:sz w:val="24"/>
              </w:rPr>
              <w:t>North East</w:t>
            </w:r>
            <w:proofErr w:type="gramEnd"/>
            <w:r w:rsidRPr="00812327">
              <w:rPr>
                <w:rFonts w:ascii="Arial" w:eastAsia="Times New Roman" w:hAnsi="Arial" w:cs="Arial"/>
                <w:b w:val="0"/>
                <w:sz w:val="24"/>
              </w:rPr>
              <w:t xml:space="preserve"> London, including our team functions</w:t>
            </w:r>
          </w:p>
          <w:p w14:paraId="60504E00" w14:textId="77777777" w:rsidR="00812327" w:rsidRPr="00812327" w:rsidRDefault="00812327" w:rsidP="00812327">
            <w:pPr>
              <w:numPr>
                <w:ilvl w:val="0"/>
                <w:numId w:val="12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Information on using the NEL Joint Formulary, digital tools, and the Medicines Optimisation Portal for safe and cost-effective prescribing.</w:t>
            </w:r>
          </w:p>
          <w:p w14:paraId="03CD3683" w14:textId="77777777" w:rsidR="00812327" w:rsidRPr="00812327" w:rsidRDefault="00812327" w:rsidP="00812327">
            <w:pPr>
              <w:numPr>
                <w:ilvl w:val="0"/>
                <w:numId w:val="12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Signposting to essential resources, guidelines, policies and NEL drug formulary.</w:t>
            </w:r>
          </w:p>
          <w:p w14:paraId="72B0F144" w14:textId="77777777" w:rsidR="00812327" w:rsidRPr="00812327" w:rsidRDefault="00812327" w:rsidP="00812327">
            <w:pPr>
              <w:numPr>
                <w:ilvl w:val="0"/>
                <w:numId w:val="12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An introduction to local prescribing schemes and community pharmacy services.</w:t>
            </w:r>
          </w:p>
          <w:p w14:paraId="0924A7F5" w14:textId="77777777" w:rsidR="00812327" w:rsidRPr="00812327" w:rsidRDefault="00812327" w:rsidP="00812327">
            <w:pPr>
              <w:numPr>
                <w:ilvl w:val="0"/>
                <w:numId w:val="12"/>
              </w:numPr>
              <w:spacing w:after="240"/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Where to find support for prescribing queries</w:t>
            </w:r>
          </w:p>
          <w:p w14:paraId="5E4C04D8" w14:textId="77777777" w:rsidR="00812327" w:rsidRPr="00812327" w:rsidRDefault="00812327" w:rsidP="00812327">
            <w:pPr>
              <w:rPr>
                <w:rFonts w:ascii="Aptos" w:hAnsi="Aptos"/>
                <w:sz w:val="24"/>
              </w:rPr>
            </w:pPr>
            <w:r w:rsidRPr="00812327">
              <w:rPr>
                <w:rFonts w:ascii="Arial" w:hAnsi="Arial" w:cs="Arial"/>
                <w:bCs w:val="0"/>
                <w:sz w:val="24"/>
              </w:rPr>
              <w:t>Who should attend?</w:t>
            </w:r>
          </w:p>
          <w:p w14:paraId="2562BE11" w14:textId="77777777" w:rsidR="00812327" w:rsidRPr="00812327" w:rsidRDefault="00812327" w:rsidP="00812327">
            <w:pPr>
              <w:numPr>
                <w:ilvl w:val="0"/>
                <w:numId w:val="13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 xml:space="preserve">All new healthcare professionals involved in prescribing or medicines-related processes including </w:t>
            </w:r>
            <w:proofErr w:type="gramStart"/>
            <w:r w:rsidRPr="00812327">
              <w:rPr>
                <w:rFonts w:ascii="Arial" w:eastAsia="Times New Roman" w:hAnsi="Arial" w:cs="Arial"/>
                <w:b w:val="0"/>
                <w:sz w:val="24"/>
              </w:rPr>
              <w:t>GP’s</w:t>
            </w:r>
            <w:proofErr w:type="gramEnd"/>
            <w:r w:rsidRPr="00812327">
              <w:rPr>
                <w:rFonts w:ascii="Arial" w:eastAsia="Times New Roman" w:hAnsi="Arial" w:cs="Arial"/>
                <w:b w:val="0"/>
                <w:sz w:val="24"/>
              </w:rPr>
              <w:t>.</w:t>
            </w:r>
          </w:p>
          <w:p w14:paraId="582265B8" w14:textId="77777777" w:rsidR="00812327" w:rsidRPr="00812327" w:rsidRDefault="00812327" w:rsidP="00812327">
            <w:pPr>
              <w:numPr>
                <w:ilvl w:val="0"/>
                <w:numId w:val="13"/>
              </w:numPr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New practice managers and allied health professionals (AHPs).</w:t>
            </w:r>
          </w:p>
          <w:p w14:paraId="3AA531FD" w14:textId="77777777" w:rsidR="00812327" w:rsidRPr="00812327" w:rsidRDefault="00812327" w:rsidP="00812327">
            <w:pPr>
              <w:numPr>
                <w:ilvl w:val="0"/>
                <w:numId w:val="13"/>
              </w:numPr>
              <w:spacing w:after="240"/>
              <w:rPr>
                <w:rFonts w:ascii="Aptos" w:eastAsia="Times New Roman" w:hAnsi="Aptos"/>
                <w:b w:val="0"/>
                <w:sz w:val="24"/>
              </w:rPr>
            </w:pPr>
            <w:r w:rsidRPr="00812327">
              <w:rPr>
                <w:rFonts w:ascii="Arial" w:eastAsia="Times New Roman" w:hAnsi="Arial" w:cs="Arial"/>
                <w:b w:val="0"/>
                <w:sz w:val="24"/>
              </w:rPr>
              <w:t>Anyone who has recently joined or had recent contact with the Medicines Optimisation Team and would like to learn more</w:t>
            </w:r>
          </w:p>
          <w:p w14:paraId="6E7B9132" w14:textId="77777777" w:rsidR="00D03137" w:rsidRPr="00812327" w:rsidRDefault="00812327" w:rsidP="00812327">
            <w:pPr>
              <w:rPr>
                <w:rFonts w:ascii="Aptos" w:hAnsi="Aptos"/>
                <w:sz w:val="24"/>
              </w:rPr>
            </w:pPr>
            <w:r w:rsidRPr="00812327">
              <w:rPr>
                <w:rFonts w:ascii="Arial" w:hAnsi="Arial" w:cs="Arial"/>
                <w:b w:val="0"/>
                <w:bCs w:val="0"/>
                <w:sz w:val="24"/>
              </w:rPr>
              <w:t>We look forward to welcoming your new staff.</w:t>
            </w:r>
          </w:p>
        </w:tc>
      </w:tr>
    </w:tbl>
    <w:p w14:paraId="239D6EF8" w14:textId="77777777" w:rsidR="00710B55" w:rsidRDefault="00710B55" w:rsidP="00D031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710B55" w:rsidSect="00800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6AB1" w14:textId="77777777" w:rsidR="00A3035C" w:rsidRDefault="00A3035C" w:rsidP="00862BAE">
      <w:pPr>
        <w:spacing w:after="0" w:line="240" w:lineRule="auto"/>
      </w:pPr>
      <w:r>
        <w:separator/>
      </w:r>
    </w:p>
  </w:endnote>
  <w:endnote w:type="continuationSeparator" w:id="0">
    <w:p w14:paraId="011C5B0B" w14:textId="77777777" w:rsidR="00A3035C" w:rsidRDefault="00A3035C" w:rsidP="0086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CE1A" w14:textId="77777777" w:rsidR="00A3035C" w:rsidRDefault="00A3035C" w:rsidP="00862BAE">
      <w:pPr>
        <w:spacing w:after="0" w:line="240" w:lineRule="auto"/>
      </w:pPr>
      <w:r>
        <w:separator/>
      </w:r>
    </w:p>
  </w:footnote>
  <w:footnote w:type="continuationSeparator" w:id="0">
    <w:p w14:paraId="38B27858" w14:textId="77777777" w:rsidR="00A3035C" w:rsidRDefault="00A3035C" w:rsidP="0086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CAA1AB"/>
    <w:multiLevelType w:val="hybridMultilevel"/>
    <w:tmpl w:val="D99BEB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A3B56"/>
    <w:multiLevelType w:val="hybridMultilevel"/>
    <w:tmpl w:val="3FD8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77C2"/>
    <w:multiLevelType w:val="multilevel"/>
    <w:tmpl w:val="358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75FBC"/>
    <w:multiLevelType w:val="hybridMultilevel"/>
    <w:tmpl w:val="D2D26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5EA"/>
    <w:multiLevelType w:val="multilevel"/>
    <w:tmpl w:val="190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42901"/>
    <w:multiLevelType w:val="hybridMultilevel"/>
    <w:tmpl w:val="8D0A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D6184"/>
    <w:multiLevelType w:val="multilevel"/>
    <w:tmpl w:val="B2CA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B5791"/>
    <w:multiLevelType w:val="multilevel"/>
    <w:tmpl w:val="4CF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5D8DF"/>
    <w:multiLevelType w:val="hybridMultilevel"/>
    <w:tmpl w:val="9C82BE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42E361D"/>
    <w:multiLevelType w:val="hybridMultilevel"/>
    <w:tmpl w:val="71F2E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F75F"/>
    <w:multiLevelType w:val="hybridMultilevel"/>
    <w:tmpl w:val="530CB7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02225E"/>
    <w:multiLevelType w:val="hybridMultilevel"/>
    <w:tmpl w:val="330813D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7363758F"/>
    <w:multiLevelType w:val="multilevel"/>
    <w:tmpl w:val="7B36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583152">
    <w:abstractNumId w:val="4"/>
  </w:num>
  <w:num w:numId="2" w16cid:durableId="1336105744">
    <w:abstractNumId w:val="7"/>
  </w:num>
  <w:num w:numId="3" w16cid:durableId="917834869">
    <w:abstractNumId w:val="2"/>
  </w:num>
  <w:num w:numId="4" w16cid:durableId="1110007177">
    <w:abstractNumId w:val="3"/>
  </w:num>
  <w:num w:numId="5" w16cid:durableId="1857234532">
    <w:abstractNumId w:val="1"/>
  </w:num>
  <w:num w:numId="6" w16cid:durableId="1486358254">
    <w:abstractNumId w:val="8"/>
  </w:num>
  <w:num w:numId="7" w16cid:durableId="373432943">
    <w:abstractNumId w:val="0"/>
  </w:num>
  <w:num w:numId="8" w16cid:durableId="704139055">
    <w:abstractNumId w:val="10"/>
  </w:num>
  <w:num w:numId="9" w16cid:durableId="1668512027">
    <w:abstractNumId w:val="5"/>
  </w:num>
  <w:num w:numId="10" w16cid:durableId="176430943">
    <w:abstractNumId w:val="11"/>
  </w:num>
  <w:num w:numId="11" w16cid:durableId="387732294">
    <w:abstractNumId w:val="9"/>
  </w:num>
  <w:num w:numId="12" w16cid:durableId="2302365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9833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89"/>
    <w:rsid w:val="00022BD0"/>
    <w:rsid w:val="000F76D1"/>
    <w:rsid w:val="00142A84"/>
    <w:rsid w:val="00156A50"/>
    <w:rsid w:val="00204A75"/>
    <w:rsid w:val="002414CB"/>
    <w:rsid w:val="0028429F"/>
    <w:rsid w:val="002D2504"/>
    <w:rsid w:val="00395603"/>
    <w:rsid w:val="003D532F"/>
    <w:rsid w:val="0044104A"/>
    <w:rsid w:val="00445DDA"/>
    <w:rsid w:val="00474781"/>
    <w:rsid w:val="004E5B22"/>
    <w:rsid w:val="004F752F"/>
    <w:rsid w:val="00505E6D"/>
    <w:rsid w:val="0052040A"/>
    <w:rsid w:val="0055352A"/>
    <w:rsid w:val="005B4937"/>
    <w:rsid w:val="005F6B64"/>
    <w:rsid w:val="006F4053"/>
    <w:rsid w:val="00707462"/>
    <w:rsid w:val="00710B55"/>
    <w:rsid w:val="007658DC"/>
    <w:rsid w:val="007A4E85"/>
    <w:rsid w:val="00800589"/>
    <w:rsid w:val="00812327"/>
    <w:rsid w:val="00857E80"/>
    <w:rsid w:val="00862BAE"/>
    <w:rsid w:val="00993C64"/>
    <w:rsid w:val="009C2EA3"/>
    <w:rsid w:val="00A16DAF"/>
    <w:rsid w:val="00A3035C"/>
    <w:rsid w:val="00B1349D"/>
    <w:rsid w:val="00C4727B"/>
    <w:rsid w:val="00CB16A7"/>
    <w:rsid w:val="00D03137"/>
    <w:rsid w:val="00D16B21"/>
    <w:rsid w:val="00DA109F"/>
    <w:rsid w:val="00DF6059"/>
    <w:rsid w:val="00E16C2E"/>
    <w:rsid w:val="00E2406B"/>
    <w:rsid w:val="00EB51EC"/>
    <w:rsid w:val="00EB5837"/>
    <w:rsid w:val="00EE7694"/>
    <w:rsid w:val="00F17334"/>
    <w:rsid w:val="00F85B88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5B43"/>
  <w15:docId w15:val="{E56A8F34-09C7-D74F-9144-CF4E60B1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37"/>
  </w:style>
  <w:style w:type="paragraph" w:styleId="Heading1">
    <w:name w:val="heading 1"/>
    <w:basedOn w:val="Normal"/>
    <w:link w:val="Heading1Char"/>
    <w:uiPriority w:val="9"/>
    <w:qFormat/>
    <w:rsid w:val="00800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00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00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58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005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005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00589"/>
    <w:rPr>
      <w:b/>
      <w:bCs/>
    </w:rPr>
  </w:style>
  <w:style w:type="paragraph" w:styleId="ListParagraph">
    <w:name w:val="List Paragraph"/>
    <w:basedOn w:val="Normal"/>
    <w:uiPriority w:val="34"/>
    <w:qFormat/>
    <w:rsid w:val="00142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5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B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B55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D0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D031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A1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2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BAE"/>
  </w:style>
  <w:style w:type="paragraph" w:styleId="Footer">
    <w:name w:val="footer"/>
    <w:basedOn w:val="Normal"/>
    <w:link w:val="FooterChar"/>
    <w:uiPriority w:val="99"/>
    <w:semiHidden/>
    <w:unhideWhenUsed/>
    <w:rsid w:val="00862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UxMDk2YzMtMDRkMS00N2Y3LWE3NDMtOGRlMGRjYTk5OTBh%40thread.v2/0?context=%7b%22Tid%22%3a%2237c354b2-85b0-47f5-b222-07b48d774ee3%22%2c%22Oid%22%3a%22c27b85f1-50e7-4f2a-8deb-6df630625f5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jliMTQ1ODQtZDQ5Ny00ZGRjLTlmOGItMWViOGY2ODc0YTVi%40thread.v2/0?context=%7b%22Tid%22%3a%2237c354b2-85b0-47f5-b222-07b48d774ee3%22%2c%22Oid%22%3a%22c27b85f1-50e7-4f2a-8deb-6df630625f5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1856</Characters>
  <Application>Microsoft Office Word</Application>
  <DocSecurity>0</DocSecurity>
  <Lines>154</Lines>
  <Paragraphs>50</Paragraphs>
  <ScaleCrop>false</ScaleCrop>
  <Company>BETA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officeprivate</dc:creator>
  <cp:lastModifiedBy>mohamed kanji</cp:lastModifiedBy>
  <cp:revision>2</cp:revision>
  <dcterms:created xsi:type="dcterms:W3CDTF">2025-11-10T08:45:00Z</dcterms:created>
  <dcterms:modified xsi:type="dcterms:W3CDTF">2025-11-10T08:45:00Z</dcterms:modified>
</cp:coreProperties>
</file>