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9088" w14:textId="79459777" w:rsidR="00A411D3" w:rsidRPr="00640F77" w:rsidRDefault="00A411D3" w:rsidP="00FB36C8">
      <w:pPr>
        <w:rPr>
          <w:rFonts w:ascii="Calibri" w:hAnsi="Calibri" w:cs="Calibri"/>
          <w:b/>
          <w:bCs/>
          <w:sz w:val="22"/>
          <w:szCs w:val="22"/>
        </w:rPr>
      </w:pPr>
      <w:r w:rsidRPr="7D9D4873">
        <w:rPr>
          <w:rFonts w:ascii="Calibri" w:hAnsi="Calibri" w:cs="Calibri"/>
          <w:b/>
          <w:bCs/>
          <w:sz w:val="22"/>
          <w:szCs w:val="22"/>
        </w:rPr>
        <w:t>Primary Care Update</w:t>
      </w:r>
    </w:p>
    <w:p w14:paraId="6A958EA5" w14:textId="03449605" w:rsidR="00A411D3" w:rsidRPr="00640F77" w:rsidRDefault="0011609E" w:rsidP="00FB36C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</w:t>
      </w:r>
      <w:r w:rsidRPr="0011609E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sz w:val="22"/>
          <w:szCs w:val="22"/>
        </w:rPr>
        <w:t xml:space="preserve"> February </w:t>
      </w:r>
      <w:r w:rsidR="00A411D3" w:rsidRPr="7D9D4873">
        <w:rPr>
          <w:rFonts w:ascii="Calibri" w:hAnsi="Calibri" w:cs="Calibri"/>
          <w:b/>
          <w:bCs/>
          <w:sz w:val="22"/>
          <w:szCs w:val="22"/>
        </w:rPr>
        <w:t>202</w:t>
      </w:r>
      <w:r w:rsidR="00721FC5" w:rsidRPr="7D9D4873">
        <w:rPr>
          <w:rFonts w:ascii="Calibri" w:hAnsi="Calibri" w:cs="Calibri"/>
          <w:b/>
          <w:bCs/>
          <w:sz w:val="22"/>
          <w:szCs w:val="22"/>
        </w:rPr>
        <w:t>5</w:t>
      </w:r>
    </w:p>
    <w:p w14:paraId="6B80C581" w14:textId="30B2ECB7" w:rsidR="00FB36C8" w:rsidRPr="00FB36C8" w:rsidRDefault="00FB36C8" w:rsidP="00FB36C8">
      <w:pPr>
        <w:rPr>
          <w:rFonts w:ascii="Calibri" w:hAnsi="Calibri" w:cs="Calibri"/>
          <w:b/>
          <w:bCs/>
          <w:sz w:val="22"/>
          <w:szCs w:val="22"/>
        </w:rPr>
      </w:pPr>
      <w:r w:rsidRPr="248E6E5C">
        <w:rPr>
          <w:rFonts w:ascii="Calibri" w:hAnsi="Calibri" w:cs="Calibri"/>
          <w:b/>
          <w:bCs/>
          <w:sz w:val="22"/>
          <w:szCs w:val="22"/>
        </w:rPr>
        <w:t>Barts Health</w:t>
      </w:r>
      <w:r w:rsidR="0F7FD77E" w:rsidRPr="248E6E5C">
        <w:rPr>
          <w:rFonts w:ascii="Calibri" w:hAnsi="Calibri" w:cs="Calibri"/>
          <w:b/>
          <w:bCs/>
          <w:sz w:val="22"/>
          <w:szCs w:val="22"/>
        </w:rPr>
        <w:t xml:space="preserve"> NHS Trust</w:t>
      </w:r>
      <w:r w:rsidRPr="248E6E5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A01E1" w:rsidRPr="248E6E5C">
        <w:rPr>
          <w:rFonts w:ascii="Calibri" w:hAnsi="Calibri" w:cs="Calibri"/>
          <w:b/>
          <w:bCs/>
          <w:sz w:val="22"/>
          <w:szCs w:val="22"/>
        </w:rPr>
        <w:t xml:space="preserve">for </w:t>
      </w:r>
      <w:r w:rsidRPr="248E6E5C">
        <w:rPr>
          <w:rFonts w:ascii="Calibri" w:hAnsi="Calibri" w:cs="Calibri"/>
          <w:b/>
          <w:bCs/>
          <w:sz w:val="22"/>
          <w:szCs w:val="22"/>
        </w:rPr>
        <w:t>Non-S</w:t>
      </w:r>
      <w:r w:rsidR="00AF35F2" w:rsidRPr="248E6E5C">
        <w:rPr>
          <w:rFonts w:ascii="Calibri" w:hAnsi="Calibri" w:cs="Calibri"/>
          <w:b/>
          <w:bCs/>
          <w:sz w:val="22"/>
          <w:szCs w:val="22"/>
        </w:rPr>
        <w:t>pecific</w:t>
      </w:r>
      <w:r w:rsidRPr="248E6E5C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AF35F2" w:rsidRPr="248E6E5C">
        <w:rPr>
          <w:rFonts w:ascii="Calibri" w:hAnsi="Calibri" w:cs="Calibri"/>
          <w:b/>
          <w:bCs/>
          <w:sz w:val="22"/>
          <w:szCs w:val="22"/>
        </w:rPr>
        <w:t>ymptom</w:t>
      </w:r>
      <w:r w:rsidRPr="248E6E5C">
        <w:rPr>
          <w:rFonts w:ascii="Calibri" w:hAnsi="Calibri" w:cs="Calibri"/>
          <w:b/>
          <w:bCs/>
          <w:sz w:val="22"/>
          <w:szCs w:val="22"/>
        </w:rPr>
        <w:t xml:space="preserve"> (NSS</w:t>
      </w:r>
      <w:r w:rsidR="7381276C" w:rsidRPr="248E6E5C">
        <w:rPr>
          <w:rFonts w:ascii="Calibri" w:hAnsi="Calibri" w:cs="Calibri"/>
          <w:b/>
          <w:bCs/>
          <w:sz w:val="22"/>
          <w:szCs w:val="22"/>
        </w:rPr>
        <w:t>)</w:t>
      </w:r>
      <w:r w:rsidR="61140BD9" w:rsidRPr="248E6E5C">
        <w:rPr>
          <w:rFonts w:ascii="Calibri" w:hAnsi="Calibri" w:cs="Calibri"/>
          <w:b/>
          <w:bCs/>
          <w:sz w:val="22"/>
          <w:szCs w:val="22"/>
        </w:rPr>
        <w:t xml:space="preserve"> referrals</w:t>
      </w:r>
    </w:p>
    <w:p w14:paraId="07044A58" w14:textId="336BD5C6" w:rsidR="003175D2" w:rsidRPr="00640F77" w:rsidRDefault="0053743B" w:rsidP="248E6E5C">
      <w:pPr>
        <w:jc w:val="both"/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 xml:space="preserve">Following </w:t>
      </w:r>
      <w:r w:rsidR="00407BE6" w:rsidRPr="248E6E5C">
        <w:rPr>
          <w:rFonts w:ascii="Calibri" w:hAnsi="Calibri" w:cs="Calibri"/>
          <w:sz w:val="22"/>
          <w:szCs w:val="22"/>
        </w:rPr>
        <w:t>our</w:t>
      </w:r>
      <w:r w:rsidRPr="248E6E5C">
        <w:rPr>
          <w:rFonts w:ascii="Calibri" w:hAnsi="Calibri" w:cs="Calibri"/>
          <w:sz w:val="22"/>
          <w:szCs w:val="22"/>
        </w:rPr>
        <w:t xml:space="preserve"> update in </w:t>
      </w:r>
      <w:r w:rsidR="00721FC5">
        <w:rPr>
          <w:rFonts w:ascii="Calibri" w:hAnsi="Calibri" w:cs="Calibri"/>
          <w:sz w:val="22"/>
          <w:szCs w:val="22"/>
        </w:rPr>
        <w:t>November</w:t>
      </w:r>
      <w:r w:rsidRPr="248E6E5C">
        <w:rPr>
          <w:rFonts w:ascii="Calibri" w:hAnsi="Calibri" w:cs="Calibri"/>
          <w:sz w:val="22"/>
          <w:szCs w:val="22"/>
        </w:rPr>
        <w:t xml:space="preserve"> we would like to share the </w:t>
      </w:r>
      <w:r w:rsidR="710F39F9" w:rsidRPr="248E6E5C">
        <w:rPr>
          <w:rFonts w:ascii="Calibri" w:hAnsi="Calibri" w:cs="Calibri"/>
          <w:sz w:val="22"/>
          <w:szCs w:val="22"/>
        </w:rPr>
        <w:t xml:space="preserve">current </w:t>
      </w:r>
      <w:r w:rsidR="00FB36C8" w:rsidRPr="248E6E5C">
        <w:rPr>
          <w:rFonts w:ascii="Calibri" w:hAnsi="Calibri" w:cs="Calibri"/>
          <w:sz w:val="22"/>
          <w:szCs w:val="22"/>
        </w:rPr>
        <w:t>waiting time</w:t>
      </w:r>
      <w:r w:rsidR="43EAF0CF" w:rsidRPr="248E6E5C">
        <w:rPr>
          <w:rFonts w:ascii="Calibri" w:hAnsi="Calibri" w:cs="Calibri"/>
          <w:sz w:val="22"/>
          <w:szCs w:val="22"/>
        </w:rPr>
        <w:t xml:space="preserve"> of </w:t>
      </w:r>
      <w:r w:rsidR="00721FC5">
        <w:rPr>
          <w:rFonts w:ascii="Calibri" w:hAnsi="Calibri" w:cs="Calibri"/>
          <w:b/>
          <w:bCs/>
          <w:sz w:val="22"/>
          <w:szCs w:val="22"/>
        </w:rPr>
        <w:t>1</w:t>
      </w:r>
      <w:r w:rsidR="43EAF0CF" w:rsidRPr="248E6E5C">
        <w:rPr>
          <w:rFonts w:ascii="Calibri" w:hAnsi="Calibri" w:cs="Calibri"/>
          <w:b/>
          <w:bCs/>
          <w:sz w:val="22"/>
          <w:szCs w:val="22"/>
        </w:rPr>
        <w:t xml:space="preserve"> week</w:t>
      </w:r>
      <w:r w:rsidR="00FB36C8" w:rsidRPr="248E6E5C">
        <w:rPr>
          <w:rFonts w:ascii="Calibri" w:hAnsi="Calibri" w:cs="Calibri"/>
          <w:sz w:val="22"/>
          <w:szCs w:val="22"/>
        </w:rPr>
        <w:t xml:space="preserve"> for</w:t>
      </w:r>
      <w:r w:rsidR="26CB64D3" w:rsidRPr="248E6E5C">
        <w:rPr>
          <w:rFonts w:ascii="Calibri" w:hAnsi="Calibri" w:cs="Calibri"/>
          <w:sz w:val="22"/>
          <w:szCs w:val="22"/>
        </w:rPr>
        <w:t xml:space="preserve"> </w:t>
      </w:r>
      <w:r w:rsidR="658372A4" w:rsidRPr="248E6E5C">
        <w:rPr>
          <w:rFonts w:ascii="Calibri" w:hAnsi="Calibri" w:cs="Calibri"/>
          <w:sz w:val="22"/>
          <w:szCs w:val="22"/>
        </w:rPr>
        <w:t xml:space="preserve">NSS </w:t>
      </w:r>
      <w:r w:rsidR="26CB64D3" w:rsidRPr="248E6E5C">
        <w:rPr>
          <w:rFonts w:ascii="Calibri" w:hAnsi="Calibri" w:cs="Calibri"/>
          <w:sz w:val="22"/>
          <w:szCs w:val="22"/>
        </w:rPr>
        <w:t>referrals</w:t>
      </w:r>
      <w:r w:rsidR="00FB36C8" w:rsidRPr="248E6E5C">
        <w:rPr>
          <w:rFonts w:ascii="Calibri" w:hAnsi="Calibri" w:cs="Calibri"/>
          <w:sz w:val="22"/>
          <w:szCs w:val="22"/>
        </w:rPr>
        <w:t xml:space="preserve"> </w:t>
      </w:r>
      <w:r w:rsidR="45193840" w:rsidRPr="248E6E5C">
        <w:rPr>
          <w:rFonts w:ascii="Calibri" w:hAnsi="Calibri" w:cs="Calibri"/>
          <w:sz w:val="22"/>
          <w:szCs w:val="22"/>
        </w:rPr>
        <w:t xml:space="preserve">into </w:t>
      </w:r>
      <w:r w:rsidR="00FB36C8" w:rsidRPr="248E6E5C">
        <w:rPr>
          <w:rFonts w:ascii="Calibri" w:hAnsi="Calibri" w:cs="Calibri"/>
          <w:sz w:val="22"/>
          <w:szCs w:val="22"/>
        </w:rPr>
        <w:t>our</w:t>
      </w:r>
      <w:r w:rsidR="006A01E1" w:rsidRPr="248E6E5C">
        <w:rPr>
          <w:rFonts w:ascii="Calibri" w:hAnsi="Calibri" w:cs="Calibri"/>
          <w:sz w:val="22"/>
          <w:szCs w:val="22"/>
        </w:rPr>
        <w:t xml:space="preserve"> RDC</w:t>
      </w:r>
      <w:r w:rsidR="00FB36C8" w:rsidRPr="248E6E5C">
        <w:rPr>
          <w:rFonts w:ascii="Calibri" w:hAnsi="Calibri" w:cs="Calibri"/>
          <w:sz w:val="22"/>
          <w:szCs w:val="22"/>
        </w:rPr>
        <w:t xml:space="preserve"> clinic</w:t>
      </w:r>
      <w:r w:rsidR="00D80368" w:rsidRPr="248E6E5C">
        <w:rPr>
          <w:rFonts w:ascii="Calibri" w:hAnsi="Calibri" w:cs="Calibri"/>
          <w:sz w:val="22"/>
          <w:szCs w:val="22"/>
        </w:rPr>
        <w:t xml:space="preserve"> (formerly MRADC)</w:t>
      </w:r>
    </w:p>
    <w:p w14:paraId="2DCF0751" w14:textId="1BCBC3B4" w:rsidR="003005EF" w:rsidRDefault="00903714" w:rsidP="248E6E5C">
      <w:pPr>
        <w:jc w:val="both"/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 xml:space="preserve">We apologise for the recent service </w:t>
      </w:r>
      <w:r w:rsidR="006338B5" w:rsidRPr="248E6E5C">
        <w:rPr>
          <w:rFonts w:ascii="Calibri" w:hAnsi="Calibri" w:cs="Calibri"/>
          <w:sz w:val="22"/>
          <w:szCs w:val="22"/>
        </w:rPr>
        <w:t>delays and the impact this has</w:t>
      </w:r>
      <w:r w:rsidR="00721FC5">
        <w:rPr>
          <w:rFonts w:ascii="Calibri" w:hAnsi="Calibri" w:cs="Calibri"/>
          <w:sz w:val="22"/>
          <w:szCs w:val="22"/>
        </w:rPr>
        <w:t xml:space="preserve"> had</w:t>
      </w:r>
      <w:r w:rsidR="006338B5" w:rsidRPr="248E6E5C">
        <w:rPr>
          <w:rFonts w:ascii="Calibri" w:hAnsi="Calibri" w:cs="Calibri"/>
          <w:sz w:val="22"/>
          <w:szCs w:val="22"/>
        </w:rPr>
        <w:t>, and w</w:t>
      </w:r>
      <w:r w:rsidR="00FB36C8" w:rsidRPr="248E6E5C">
        <w:rPr>
          <w:rFonts w:ascii="Calibri" w:hAnsi="Calibri" w:cs="Calibri"/>
          <w:sz w:val="22"/>
          <w:szCs w:val="22"/>
        </w:rPr>
        <w:t xml:space="preserve">e </w:t>
      </w:r>
      <w:r w:rsidR="0021253D" w:rsidRPr="248E6E5C">
        <w:rPr>
          <w:rFonts w:ascii="Calibri" w:hAnsi="Calibri" w:cs="Calibri"/>
          <w:sz w:val="22"/>
          <w:szCs w:val="22"/>
        </w:rPr>
        <w:t xml:space="preserve">fully </w:t>
      </w:r>
      <w:r w:rsidR="00FB36C8" w:rsidRPr="248E6E5C">
        <w:rPr>
          <w:rFonts w:ascii="Calibri" w:hAnsi="Calibri" w:cs="Calibri"/>
          <w:sz w:val="22"/>
          <w:szCs w:val="22"/>
        </w:rPr>
        <w:t>understand the worries and concerns that this brings to you, your patients and their families.</w:t>
      </w:r>
      <w:r w:rsidR="00A411AE" w:rsidRPr="248E6E5C">
        <w:rPr>
          <w:rFonts w:ascii="Calibri" w:hAnsi="Calibri" w:cs="Calibri"/>
          <w:sz w:val="22"/>
          <w:szCs w:val="22"/>
        </w:rPr>
        <w:t xml:space="preserve"> </w:t>
      </w:r>
    </w:p>
    <w:p w14:paraId="7E7DC66C" w14:textId="05E5683D" w:rsidR="00FF6A19" w:rsidRDefault="00721FC5" w:rsidP="248E6E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RDC service</w:t>
      </w:r>
      <w:r w:rsidR="00FF6A19">
        <w:rPr>
          <w:rFonts w:ascii="Calibri" w:hAnsi="Calibri" w:cs="Calibri"/>
          <w:sz w:val="22"/>
          <w:szCs w:val="22"/>
        </w:rPr>
        <w:t xml:space="preserve"> at Barts Health NHS Trust</w:t>
      </w:r>
      <w:r>
        <w:rPr>
          <w:rFonts w:ascii="Calibri" w:hAnsi="Calibri" w:cs="Calibri"/>
          <w:sz w:val="22"/>
          <w:szCs w:val="22"/>
        </w:rPr>
        <w:t xml:space="preserve"> has been reviewed </w:t>
      </w:r>
      <w:r w:rsidR="0035332F">
        <w:rPr>
          <w:rFonts w:ascii="Calibri" w:hAnsi="Calibri" w:cs="Calibri"/>
          <w:sz w:val="22"/>
          <w:szCs w:val="22"/>
        </w:rPr>
        <w:t>and</w:t>
      </w:r>
      <w:r w:rsidR="00FF6A1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pathways</w:t>
      </w:r>
      <w:r w:rsidR="00FF6A19">
        <w:rPr>
          <w:rFonts w:ascii="Calibri" w:hAnsi="Calibri" w:cs="Calibri"/>
          <w:sz w:val="22"/>
          <w:szCs w:val="22"/>
        </w:rPr>
        <w:t xml:space="preserve"> within have now </w:t>
      </w:r>
      <w:r>
        <w:rPr>
          <w:rFonts w:ascii="Calibri" w:hAnsi="Calibri" w:cs="Calibri"/>
          <w:sz w:val="22"/>
          <w:szCs w:val="22"/>
        </w:rPr>
        <w:t>been decoupled</w:t>
      </w:r>
      <w:r w:rsidR="00FF6A19">
        <w:rPr>
          <w:rFonts w:ascii="Calibri" w:hAnsi="Calibri" w:cs="Calibri"/>
          <w:sz w:val="22"/>
          <w:szCs w:val="22"/>
        </w:rPr>
        <w:t xml:space="preserve"> as follows:</w:t>
      </w:r>
    </w:p>
    <w:p w14:paraId="5A562680" w14:textId="77777777" w:rsidR="00006F60" w:rsidRDefault="00721FC5" w:rsidP="00006F60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7D9D4873">
        <w:rPr>
          <w:rFonts w:ascii="Calibri" w:hAnsi="Calibri" w:cs="Calibri"/>
          <w:sz w:val="22"/>
          <w:szCs w:val="22"/>
        </w:rPr>
        <w:t xml:space="preserve">Sarcoma </w:t>
      </w:r>
      <w:r w:rsidR="00006F60">
        <w:rPr>
          <w:rFonts w:ascii="Calibri" w:hAnsi="Calibri" w:cs="Calibri"/>
          <w:sz w:val="22"/>
          <w:szCs w:val="22"/>
        </w:rPr>
        <w:t xml:space="preserve">can be referred to via ERS using </w:t>
      </w:r>
    </w:p>
    <w:p w14:paraId="3A032A72" w14:textId="77777777" w:rsidR="00006F60" w:rsidRPr="00006F60" w:rsidRDefault="00006F60" w:rsidP="00006F60">
      <w:pPr>
        <w:pStyle w:val="ListParagraph"/>
        <w:jc w:val="both"/>
        <w:rPr>
          <w:rFonts w:ascii="Calibri" w:hAnsi="Calibri" w:cs="Calibri"/>
          <w:sz w:val="20"/>
          <w:szCs w:val="20"/>
        </w:rPr>
      </w:pPr>
      <w:r w:rsidRPr="00006F60">
        <w:rPr>
          <w:rFonts w:ascii="Calibri" w:hAnsi="Calibri" w:cs="Calibri"/>
          <w:sz w:val="20"/>
          <w:szCs w:val="20"/>
        </w:rPr>
        <w:t>Urgent Suspected Cancer – Sarcoma Soft Tissue not BONE - RAS - (RLH) - Barts Health NHS Trust - R1H</w:t>
      </w:r>
    </w:p>
    <w:p w14:paraId="1DCEE938" w14:textId="77777777" w:rsidR="00006F60" w:rsidRDefault="00006F60" w:rsidP="00006F60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37E0417F" w14:textId="6C998ADD" w:rsidR="00006F60" w:rsidRPr="00006F60" w:rsidRDefault="0035332F" w:rsidP="00006F60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06F60">
        <w:rPr>
          <w:rFonts w:ascii="Calibri" w:hAnsi="Calibri" w:cs="Calibri"/>
          <w:sz w:val="22"/>
          <w:szCs w:val="22"/>
        </w:rPr>
        <w:t>N</w:t>
      </w:r>
      <w:r w:rsidR="278511E2" w:rsidRPr="00006F60">
        <w:rPr>
          <w:rFonts w:ascii="Calibri" w:hAnsi="Calibri" w:cs="Calibri"/>
          <w:sz w:val="22"/>
          <w:szCs w:val="22"/>
        </w:rPr>
        <w:t>SS</w:t>
      </w:r>
      <w:r w:rsidRPr="00006F60">
        <w:rPr>
          <w:rFonts w:ascii="Calibri" w:hAnsi="Calibri" w:cs="Calibri"/>
          <w:sz w:val="22"/>
          <w:szCs w:val="22"/>
        </w:rPr>
        <w:t xml:space="preserve"> &amp; MUO</w:t>
      </w:r>
      <w:r w:rsidR="76646676" w:rsidRPr="00006F60">
        <w:rPr>
          <w:rFonts w:ascii="Calibri" w:hAnsi="Calibri" w:cs="Calibri"/>
          <w:sz w:val="22"/>
          <w:szCs w:val="22"/>
        </w:rPr>
        <w:t xml:space="preserve"> (malignancy of unknown origin</w:t>
      </w:r>
      <w:r w:rsidR="39ABD7C3" w:rsidRPr="00006F60">
        <w:rPr>
          <w:rFonts w:ascii="Calibri" w:hAnsi="Calibri" w:cs="Calibri"/>
          <w:sz w:val="22"/>
          <w:szCs w:val="22"/>
        </w:rPr>
        <w:t>, identified by basic imaging</w:t>
      </w:r>
      <w:r w:rsidR="76646676" w:rsidRPr="00006F60">
        <w:rPr>
          <w:rFonts w:ascii="Calibri" w:hAnsi="Calibri" w:cs="Calibri"/>
          <w:sz w:val="22"/>
          <w:szCs w:val="22"/>
        </w:rPr>
        <w:t>)</w:t>
      </w:r>
      <w:r w:rsidRPr="00006F60">
        <w:rPr>
          <w:rFonts w:ascii="Calibri" w:hAnsi="Calibri" w:cs="Calibri"/>
          <w:sz w:val="22"/>
          <w:szCs w:val="22"/>
        </w:rPr>
        <w:t xml:space="preserve"> will remain as pathways under the RDC at Royal London Hospita</w:t>
      </w:r>
      <w:r w:rsidR="00006F60" w:rsidRPr="00006F60">
        <w:rPr>
          <w:rFonts w:ascii="Calibri" w:hAnsi="Calibri" w:cs="Calibri"/>
          <w:sz w:val="22"/>
          <w:szCs w:val="22"/>
        </w:rPr>
        <w:t>l, please refer via ERS using</w:t>
      </w:r>
    </w:p>
    <w:p w14:paraId="411ACB24" w14:textId="77777777" w:rsidR="00006F60" w:rsidRPr="00006F60" w:rsidRDefault="00006F60" w:rsidP="00006F60">
      <w:pPr>
        <w:pStyle w:val="NormalWeb"/>
        <w:ind w:left="720"/>
        <w:rPr>
          <w:sz w:val="22"/>
          <w:szCs w:val="22"/>
        </w:rPr>
      </w:pPr>
      <w:r w:rsidRPr="00006F60">
        <w:rPr>
          <w:rFonts w:ascii="Arial" w:hAnsi="Arial" w:cs="Arial"/>
          <w:color w:val="000000"/>
          <w:sz w:val="18"/>
          <w:szCs w:val="18"/>
        </w:rPr>
        <w:t>Urgent Suspected Cancer-Multidisciplinary Rapid Access Diagnostic RAS Barts Health NHS Trust R1H</w:t>
      </w:r>
    </w:p>
    <w:p w14:paraId="4414FD87" w14:textId="77777777" w:rsidR="00006F60" w:rsidRDefault="00006F60" w:rsidP="00721FC5">
      <w:pPr>
        <w:jc w:val="both"/>
        <w:rPr>
          <w:rFonts w:ascii="Calibri" w:hAnsi="Calibri" w:cs="Calibri"/>
          <w:sz w:val="22"/>
          <w:szCs w:val="22"/>
        </w:rPr>
      </w:pPr>
    </w:p>
    <w:p w14:paraId="0E905950" w14:textId="622517F5" w:rsidR="00721FC5" w:rsidRDefault="0035332F" w:rsidP="00721F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With regard to the RDC clinic (NSS &amp; MUO), a demand &amp; capacity model has been </w:t>
      </w:r>
      <w:proofErr w:type="gramStart"/>
      <w:r>
        <w:rPr>
          <w:rFonts w:ascii="Calibri" w:hAnsi="Calibri" w:cs="Calibri"/>
          <w:sz w:val="22"/>
          <w:szCs w:val="22"/>
        </w:rPr>
        <w:t>undertaken</w:t>
      </w:r>
      <w:proofErr w:type="gramEnd"/>
      <w:r>
        <w:rPr>
          <w:rFonts w:ascii="Calibri" w:hAnsi="Calibri" w:cs="Calibri"/>
          <w:sz w:val="22"/>
          <w:szCs w:val="22"/>
        </w:rPr>
        <w:t xml:space="preserve"> and work is ongoing to finalise funding for substantive team members. The</w:t>
      </w:r>
      <w:r w:rsidR="00721FC5" w:rsidRPr="248E6E5C">
        <w:rPr>
          <w:rFonts w:ascii="Calibri" w:hAnsi="Calibri" w:cs="Calibri"/>
          <w:sz w:val="22"/>
          <w:szCs w:val="22"/>
        </w:rPr>
        <w:t xml:space="preserve"> cancer alliance GP </w:t>
      </w:r>
      <w:proofErr w:type="gramStart"/>
      <w:r w:rsidR="00721FC5" w:rsidRPr="248E6E5C">
        <w:rPr>
          <w:rFonts w:ascii="Calibri" w:hAnsi="Calibri" w:cs="Calibri"/>
          <w:sz w:val="22"/>
          <w:szCs w:val="22"/>
        </w:rPr>
        <w:t>leads</w:t>
      </w:r>
      <w:proofErr w:type="gramEnd"/>
      <w:r w:rsidR="00721FC5" w:rsidRPr="248E6E5C">
        <w:rPr>
          <w:rFonts w:ascii="Calibri" w:hAnsi="Calibri" w:cs="Calibri"/>
          <w:sz w:val="22"/>
          <w:szCs w:val="22"/>
        </w:rPr>
        <w:t xml:space="preserve"> and </w:t>
      </w:r>
      <w:r w:rsidR="006B3555">
        <w:rPr>
          <w:rFonts w:ascii="Calibri" w:hAnsi="Calibri" w:cs="Calibri"/>
          <w:sz w:val="22"/>
          <w:szCs w:val="22"/>
        </w:rPr>
        <w:t>PLACE</w:t>
      </w:r>
      <w:r w:rsidR="00721FC5" w:rsidRPr="248E6E5C">
        <w:rPr>
          <w:rFonts w:ascii="Calibri" w:hAnsi="Calibri" w:cs="Calibri"/>
          <w:sz w:val="22"/>
          <w:szCs w:val="22"/>
        </w:rPr>
        <w:t xml:space="preserve"> cancer GP leads </w:t>
      </w:r>
      <w:r>
        <w:rPr>
          <w:rFonts w:ascii="Calibri" w:hAnsi="Calibri" w:cs="Calibri"/>
          <w:sz w:val="22"/>
          <w:szCs w:val="22"/>
        </w:rPr>
        <w:t xml:space="preserve">have been involved in the </w:t>
      </w:r>
      <w:r w:rsidR="006B3555">
        <w:rPr>
          <w:rFonts w:ascii="Calibri" w:hAnsi="Calibri" w:cs="Calibri"/>
          <w:sz w:val="22"/>
          <w:szCs w:val="22"/>
        </w:rPr>
        <w:t xml:space="preserve">development of the </w:t>
      </w:r>
      <w:r w:rsidR="00721FC5" w:rsidRPr="248E6E5C">
        <w:rPr>
          <w:rFonts w:ascii="Calibri" w:hAnsi="Calibri" w:cs="Calibri"/>
          <w:sz w:val="22"/>
          <w:szCs w:val="22"/>
        </w:rPr>
        <w:t>clinic model</w:t>
      </w:r>
      <w:r>
        <w:rPr>
          <w:rFonts w:ascii="Calibri" w:hAnsi="Calibri" w:cs="Calibri"/>
          <w:sz w:val="22"/>
          <w:szCs w:val="22"/>
        </w:rPr>
        <w:t>.</w:t>
      </w:r>
    </w:p>
    <w:p w14:paraId="78208654" w14:textId="617A2D6C" w:rsidR="00FB36C8" w:rsidRDefault="0026532D" w:rsidP="248E6E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have included some</w:t>
      </w:r>
      <w:r w:rsidR="00FB36C8" w:rsidRPr="248E6E5C">
        <w:rPr>
          <w:rFonts w:ascii="Calibri" w:hAnsi="Calibri" w:cs="Calibri"/>
          <w:sz w:val="22"/>
          <w:szCs w:val="22"/>
        </w:rPr>
        <w:t xml:space="preserve"> alternative referral routes</w:t>
      </w:r>
      <w:r>
        <w:rPr>
          <w:rFonts w:ascii="Calibri" w:hAnsi="Calibri" w:cs="Calibri"/>
          <w:sz w:val="22"/>
          <w:szCs w:val="22"/>
        </w:rPr>
        <w:t xml:space="preserve"> b</w:t>
      </w:r>
      <w:r w:rsidR="00577353" w:rsidRPr="248E6E5C">
        <w:rPr>
          <w:rFonts w:ascii="Calibri" w:hAnsi="Calibri" w:cs="Calibri"/>
          <w:sz w:val="22"/>
          <w:szCs w:val="22"/>
        </w:rPr>
        <w:t xml:space="preserve">elow </w:t>
      </w:r>
      <w:r>
        <w:rPr>
          <w:rFonts w:ascii="Calibri" w:hAnsi="Calibri" w:cs="Calibri"/>
          <w:sz w:val="22"/>
          <w:szCs w:val="22"/>
        </w:rPr>
        <w:t>which</w:t>
      </w:r>
      <w:r w:rsidR="00A23322" w:rsidRPr="248E6E5C">
        <w:rPr>
          <w:rFonts w:ascii="Calibri" w:hAnsi="Calibri" w:cs="Calibri"/>
          <w:sz w:val="22"/>
          <w:szCs w:val="22"/>
        </w:rPr>
        <w:t xml:space="preserve"> you may </w:t>
      </w:r>
      <w:r>
        <w:rPr>
          <w:rFonts w:ascii="Calibri" w:hAnsi="Calibri" w:cs="Calibri"/>
          <w:sz w:val="22"/>
          <w:szCs w:val="22"/>
        </w:rPr>
        <w:t>still w</w:t>
      </w:r>
      <w:r w:rsidR="00A23322" w:rsidRPr="248E6E5C">
        <w:rPr>
          <w:rFonts w:ascii="Calibri" w:hAnsi="Calibri" w:cs="Calibri"/>
          <w:sz w:val="22"/>
          <w:szCs w:val="22"/>
        </w:rPr>
        <w:t xml:space="preserve">ish to consider: </w:t>
      </w:r>
    </w:p>
    <w:tbl>
      <w:tblPr>
        <w:tblStyle w:val="TableGrid"/>
        <w:tblW w:w="8910" w:type="dxa"/>
        <w:tblLook w:val="04A0" w:firstRow="1" w:lastRow="0" w:firstColumn="1" w:lastColumn="0" w:noHBand="0" w:noVBand="1"/>
      </w:tblPr>
      <w:tblGrid>
        <w:gridCol w:w="8910"/>
      </w:tblGrid>
      <w:tr w:rsidR="008A02A7" w:rsidRPr="00640F77" w14:paraId="1D5E84A2" w14:textId="77777777" w:rsidTr="337D9C6B">
        <w:trPr>
          <w:trHeight w:val="300"/>
        </w:trPr>
        <w:tc>
          <w:tcPr>
            <w:tcW w:w="8910" w:type="dxa"/>
            <w:shd w:val="clear" w:color="auto" w:fill="D9D9D9" w:themeFill="background1" w:themeFillShade="D9"/>
            <w:vAlign w:val="center"/>
          </w:tcPr>
          <w:p w14:paraId="61809845" w14:textId="2257A717" w:rsidR="008A02A7" w:rsidRPr="00640F77" w:rsidRDefault="008A02A7" w:rsidP="248E6E5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48E6E5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Alternative Referral Routes</w:t>
            </w:r>
            <w:r w:rsidR="16663C47" w:rsidRPr="248E6E5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/Pathways</w:t>
            </w:r>
          </w:p>
        </w:tc>
      </w:tr>
      <w:tr w:rsidR="008A02A7" w:rsidRPr="00640F77" w14:paraId="467E7328" w14:textId="77777777" w:rsidTr="337D9C6B">
        <w:trPr>
          <w:trHeight w:val="300"/>
        </w:trPr>
        <w:tc>
          <w:tcPr>
            <w:tcW w:w="8910" w:type="dxa"/>
          </w:tcPr>
          <w:p w14:paraId="6AA6DA19" w14:textId="76D3F8F4" w:rsidR="008A02A7" w:rsidRPr="00640F77" w:rsidRDefault="005E61CC" w:rsidP="248E6E5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48E6E5C">
              <w:rPr>
                <w:rFonts w:ascii="Calibri" w:eastAsia="Calibri" w:hAnsi="Calibri" w:cs="Calibri"/>
                <w:sz w:val="22"/>
                <w:szCs w:val="22"/>
              </w:rPr>
              <w:t xml:space="preserve">Direct access diagnostic pathways - </w:t>
            </w:r>
            <w:hyperlink r:id="rId8">
              <w:r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Early Cancer Diagnosis PCN DES and QOF Support Guide July 2024.pdf</w:t>
              </w:r>
            </w:hyperlink>
          </w:p>
          <w:p w14:paraId="081B54DC" w14:textId="77777777" w:rsidR="005E61CC" w:rsidRPr="00640F77" w:rsidRDefault="005E61CC" w:rsidP="248E6E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721882" w14:textId="77777777" w:rsidR="00171C96" w:rsidRPr="00640F77" w:rsidRDefault="00211C43" w:rsidP="248E6E5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hyperlink r:id="rId9">
              <w:r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 xml:space="preserve">Barts Health GP Direct Access to CT for Suspected Pancreatic Cancer – </w:t>
              </w:r>
              <w:proofErr w:type="gramStart"/>
              <w:r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North East</w:t>
              </w:r>
              <w:proofErr w:type="gramEnd"/>
              <w:r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 xml:space="preserve"> London</w:t>
              </w:r>
            </w:hyperlink>
          </w:p>
          <w:p w14:paraId="01130C65" w14:textId="77777777" w:rsidR="00211C43" w:rsidRPr="00640F77" w:rsidRDefault="00211C43" w:rsidP="248E6E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ED6226" w14:textId="457A2BF9" w:rsidR="36084C79" w:rsidRDefault="36084C79" w:rsidP="248E6E5C">
            <w:pPr>
              <w:pStyle w:val="ListParagraph"/>
              <w:numPr>
                <w:ilvl w:val="0"/>
                <w:numId w:val="6"/>
              </w:numPr>
            </w:pPr>
            <w:hyperlink r:id="rId10">
              <w:r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City &amp; Hackney Direct Access CT for Unintentional Significant Weight Loss</w:t>
              </w:r>
            </w:hyperlink>
            <w:r w:rsidR="03BE3C43" w:rsidRPr="248E6E5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6001865" w14:textId="6054A0D5" w:rsidR="248E6E5C" w:rsidRDefault="248E6E5C" w:rsidP="248E6E5C">
            <w:pPr>
              <w:pStyle w:val="ListParagraph"/>
            </w:pPr>
          </w:p>
          <w:p w14:paraId="2A47E535" w14:textId="06E38D45" w:rsidR="00903629" w:rsidRPr="00640F77" w:rsidRDefault="00903629" w:rsidP="248E6E5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48E6E5C">
              <w:rPr>
                <w:rFonts w:ascii="Calibri" w:eastAsia="Calibri" w:hAnsi="Calibri" w:cs="Calibri"/>
                <w:sz w:val="22"/>
                <w:szCs w:val="22"/>
              </w:rPr>
              <w:t>Another suspected cancer pathway (e.g. upper GI for abdominal pains/anaemia, etc)</w:t>
            </w:r>
            <w:r w:rsidR="6EA981EB" w:rsidRPr="248E6E5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1">
              <w:r w:rsidR="6EA981EB" w:rsidRPr="248E6E5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https://www.gatewayc.org.uk/cancer-maps/</w:t>
              </w:r>
            </w:hyperlink>
          </w:p>
          <w:p w14:paraId="47453E93" w14:textId="0EDCFB5E" w:rsidR="00903629" w:rsidRPr="00640F77" w:rsidRDefault="00903629" w:rsidP="248E6E5C">
            <w:pPr>
              <w:pStyle w:val="ListParagrap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9A0092E" w14:textId="054B63AA" w:rsidR="00CA5F10" w:rsidRPr="00640F77" w:rsidRDefault="00CA5F10" w:rsidP="337D9C6B">
      <w:pPr>
        <w:rPr>
          <w:rFonts w:ascii="Calibri" w:hAnsi="Calibri" w:cs="Calibri"/>
          <w:sz w:val="22"/>
          <w:szCs w:val="22"/>
        </w:rPr>
      </w:pPr>
    </w:p>
    <w:p w14:paraId="50E72D9E" w14:textId="4E16B315" w:rsidR="00CA5F10" w:rsidRPr="00640F77" w:rsidRDefault="46C87AB6" w:rsidP="337D9C6B">
      <w:pPr>
        <w:spacing w:after="0"/>
        <w:rPr>
          <w:rFonts w:ascii="Calibri" w:hAnsi="Calibri" w:cs="Calibri"/>
          <w:sz w:val="22"/>
          <w:szCs w:val="22"/>
        </w:rPr>
      </w:pPr>
      <w:r w:rsidRPr="337D9C6B">
        <w:rPr>
          <w:rFonts w:ascii="Calibri" w:hAnsi="Calibri" w:cs="Calibri"/>
          <w:sz w:val="22"/>
          <w:szCs w:val="22"/>
        </w:rPr>
        <w:t>Filter function tests should be used to support the referral pathway and to support GPs to refer patients via the most appropriate route (that is, non-specific symptoms or site-specific). This leads to a higher referral quality, reduces the risk of test duplication later in a patient’s pathway and ensures all necessary pre-investigations (e.g. kidney function) have been completed, removing potential delays further along the pathway.</w:t>
      </w:r>
    </w:p>
    <w:p w14:paraId="3F436726" w14:textId="2378E786" w:rsidR="00CA5F10" w:rsidRPr="00640F77" w:rsidRDefault="00CA5F10" w:rsidP="337D9C6B">
      <w:pPr>
        <w:rPr>
          <w:rFonts w:ascii="Calibri" w:hAnsi="Calibri" w:cs="Calibri"/>
          <w:sz w:val="22"/>
          <w:szCs w:val="22"/>
        </w:rPr>
      </w:pPr>
    </w:p>
    <w:p w14:paraId="48452781" w14:textId="184F58A9" w:rsidR="00CA5F10" w:rsidRPr="00640F77" w:rsidRDefault="00B41BC5" w:rsidP="337D9C6B">
      <w:pPr>
        <w:rPr>
          <w:rFonts w:ascii="Calibri" w:hAnsi="Calibri" w:cs="Calibri"/>
          <w:sz w:val="22"/>
          <w:szCs w:val="22"/>
        </w:rPr>
      </w:pPr>
      <w:r w:rsidRPr="337D9C6B">
        <w:rPr>
          <w:rFonts w:ascii="Calibri" w:hAnsi="Calibri" w:cs="Calibri"/>
          <w:sz w:val="22"/>
          <w:szCs w:val="22"/>
        </w:rPr>
        <w:lastRenderedPageBreak/>
        <w:t xml:space="preserve">Working with </w:t>
      </w:r>
      <w:r w:rsidR="00C663FE" w:rsidRPr="337D9C6B">
        <w:rPr>
          <w:rFonts w:ascii="Calibri" w:hAnsi="Calibri" w:cs="Calibri"/>
          <w:sz w:val="22"/>
          <w:szCs w:val="22"/>
        </w:rPr>
        <w:t xml:space="preserve">the GP Leads and NSS expert reference group a </w:t>
      </w:r>
      <w:r w:rsidR="00E5324A" w:rsidRPr="337D9C6B">
        <w:rPr>
          <w:rFonts w:ascii="Calibri" w:hAnsi="Calibri" w:cs="Calibri"/>
          <w:sz w:val="22"/>
          <w:szCs w:val="22"/>
        </w:rPr>
        <w:t xml:space="preserve">filter function test bundle has been created on </w:t>
      </w:r>
      <w:r w:rsidR="00C663FE" w:rsidRPr="337D9C6B">
        <w:rPr>
          <w:rFonts w:ascii="Calibri" w:hAnsi="Calibri" w:cs="Calibri"/>
          <w:sz w:val="22"/>
          <w:szCs w:val="22"/>
        </w:rPr>
        <w:t xml:space="preserve">the pathology ordering systems (T-Quest and </w:t>
      </w:r>
      <w:hyperlink r:id="rId12">
        <w:proofErr w:type="spellStart"/>
        <w:r w:rsidR="006E01C6" w:rsidRPr="337D9C6B">
          <w:rPr>
            <w:rStyle w:val="Hyperlink"/>
            <w:rFonts w:ascii="Calibri" w:hAnsi="Calibri" w:cs="Calibri"/>
            <w:sz w:val="22"/>
            <w:szCs w:val="22"/>
          </w:rPr>
          <w:t>Cyberlab</w:t>
        </w:r>
        <w:proofErr w:type="spellEnd"/>
        <w:r w:rsidR="006E01C6" w:rsidRPr="337D9C6B">
          <w:rPr>
            <w:rStyle w:val="Hyperlink"/>
            <w:rFonts w:ascii="Calibri" w:hAnsi="Calibri" w:cs="Calibri"/>
            <w:sz w:val="22"/>
            <w:szCs w:val="22"/>
          </w:rPr>
          <w:t xml:space="preserve"> Guide</w:t>
        </w:r>
      </w:hyperlink>
      <w:r w:rsidR="00C663FE" w:rsidRPr="337D9C6B">
        <w:rPr>
          <w:rFonts w:ascii="Calibri" w:hAnsi="Calibri" w:cs="Calibri"/>
          <w:sz w:val="22"/>
          <w:szCs w:val="22"/>
        </w:rPr>
        <w:t>)</w:t>
      </w:r>
      <w:r w:rsidR="00CA5F10" w:rsidRPr="337D9C6B">
        <w:rPr>
          <w:rFonts w:ascii="Calibri" w:hAnsi="Calibri" w:cs="Calibri"/>
          <w:sz w:val="22"/>
          <w:szCs w:val="22"/>
        </w:rPr>
        <w:t>, the name of the test bundle is</w:t>
      </w:r>
      <w:r w:rsidR="3BDF5C52" w:rsidRPr="337D9C6B">
        <w:rPr>
          <w:rFonts w:ascii="Calibri" w:hAnsi="Calibri" w:cs="Calibri"/>
          <w:sz w:val="22"/>
          <w:szCs w:val="22"/>
        </w:rPr>
        <w:t xml:space="preserve"> RDC NSS Pre-Referral Test Bundle.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580"/>
        <w:gridCol w:w="1928"/>
      </w:tblGrid>
      <w:tr w:rsidR="248E6E5C" w14:paraId="70E09C77" w14:textId="77777777" w:rsidTr="337D9C6B">
        <w:trPr>
          <w:trHeight w:val="30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03CB3718" w14:textId="35B6297A" w:rsidR="66FA1C5A" w:rsidRDefault="66FA1C5A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‘</w:t>
            </w:r>
            <w:r w:rsidRPr="248E6E5C">
              <w:rPr>
                <w:rFonts w:ascii="Calibri" w:hAnsi="Calibri" w:cs="Calibri"/>
                <w:b/>
                <w:bCs/>
                <w:sz w:val="22"/>
                <w:szCs w:val="22"/>
              </w:rPr>
              <w:t>RDC NSS Pre-Referral Test Bundle’</w:t>
            </w:r>
          </w:p>
        </w:tc>
      </w:tr>
      <w:tr w:rsidR="248E6E5C" w14:paraId="788E575E" w14:textId="77777777" w:rsidTr="337D9C6B">
        <w:trPr>
          <w:trHeight w:val="300"/>
        </w:trPr>
        <w:tc>
          <w:tcPr>
            <w:tcW w:w="2254" w:type="dxa"/>
            <w:vAlign w:val="center"/>
          </w:tcPr>
          <w:p w14:paraId="77CA326B" w14:textId="4CBBDF48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FBC</w:t>
            </w:r>
          </w:p>
        </w:tc>
        <w:tc>
          <w:tcPr>
            <w:tcW w:w="2254" w:type="dxa"/>
            <w:vAlign w:val="center"/>
          </w:tcPr>
          <w:p w14:paraId="699EF3B2" w14:textId="67E7EA37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U&amp;Es with eGFR</w:t>
            </w:r>
          </w:p>
        </w:tc>
        <w:tc>
          <w:tcPr>
            <w:tcW w:w="2580" w:type="dxa"/>
            <w:vAlign w:val="center"/>
          </w:tcPr>
          <w:p w14:paraId="035C943B" w14:textId="6C2F9CE5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37D9C6B">
              <w:rPr>
                <w:rFonts w:ascii="Calibri" w:hAnsi="Calibri" w:cs="Calibri"/>
                <w:sz w:val="22"/>
                <w:szCs w:val="22"/>
              </w:rPr>
              <w:t>Protein E</w:t>
            </w:r>
            <w:r w:rsidR="3E2510C1" w:rsidRPr="337D9C6B">
              <w:rPr>
                <w:rFonts w:ascii="Calibri" w:hAnsi="Calibri" w:cs="Calibri"/>
                <w:sz w:val="22"/>
                <w:szCs w:val="22"/>
              </w:rPr>
              <w:t>lec</w:t>
            </w:r>
            <w:r w:rsidR="0F7FCAE2" w:rsidRPr="337D9C6B">
              <w:rPr>
                <w:rFonts w:ascii="Calibri" w:hAnsi="Calibri" w:cs="Calibri"/>
                <w:sz w:val="22"/>
                <w:szCs w:val="22"/>
              </w:rPr>
              <w:t>trophoresis (Serum EP)</w:t>
            </w:r>
          </w:p>
        </w:tc>
        <w:tc>
          <w:tcPr>
            <w:tcW w:w="1928" w:type="dxa"/>
            <w:vAlign w:val="center"/>
          </w:tcPr>
          <w:p w14:paraId="4EA9EC49" w14:textId="2DB726F9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HbA1c</w:t>
            </w:r>
          </w:p>
        </w:tc>
      </w:tr>
      <w:tr w:rsidR="248E6E5C" w14:paraId="71B9C806" w14:textId="77777777" w:rsidTr="337D9C6B">
        <w:trPr>
          <w:trHeight w:val="300"/>
        </w:trPr>
        <w:tc>
          <w:tcPr>
            <w:tcW w:w="2254" w:type="dxa"/>
            <w:vAlign w:val="center"/>
          </w:tcPr>
          <w:p w14:paraId="4405381D" w14:textId="58B0DCA6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CRP</w:t>
            </w:r>
          </w:p>
        </w:tc>
        <w:tc>
          <w:tcPr>
            <w:tcW w:w="2254" w:type="dxa"/>
            <w:vAlign w:val="center"/>
          </w:tcPr>
          <w:p w14:paraId="31292A0E" w14:textId="5639395B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LFTs</w:t>
            </w:r>
          </w:p>
        </w:tc>
        <w:tc>
          <w:tcPr>
            <w:tcW w:w="2580" w:type="dxa"/>
            <w:vAlign w:val="center"/>
          </w:tcPr>
          <w:p w14:paraId="7B70C5E7" w14:textId="51B2C198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TSH</w:t>
            </w:r>
          </w:p>
        </w:tc>
        <w:tc>
          <w:tcPr>
            <w:tcW w:w="1928" w:type="dxa"/>
            <w:vAlign w:val="center"/>
          </w:tcPr>
          <w:p w14:paraId="5B7068B8" w14:textId="4C4D89DF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Bone</w:t>
            </w:r>
          </w:p>
        </w:tc>
      </w:tr>
      <w:tr w:rsidR="248E6E5C" w14:paraId="3C8B912F" w14:textId="77777777" w:rsidTr="337D9C6B">
        <w:trPr>
          <w:trHeight w:val="300"/>
        </w:trPr>
        <w:tc>
          <w:tcPr>
            <w:tcW w:w="2254" w:type="dxa"/>
            <w:vAlign w:val="center"/>
          </w:tcPr>
          <w:p w14:paraId="044E307E" w14:textId="47C80986" w:rsidR="66FA1C5A" w:rsidRDefault="66FA1C5A" w:rsidP="248E6E5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248E6E5C">
              <w:rPr>
                <w:rFonts w:ascii="Calibri" w:hAnsi="Calibri" w:cs="Calibri"/>
                <w:i/>
                <w:iCs/>
                <w:sz w:val="22"/>
                <w:szCs w:val="22"/>
              </w:rPr>
              <w:t>PSA (male only)</w:t>
            </w:r>
          </w:p>
        </w:tc>
        <w:tc>
          <w:tcPr>
            <w:tcW w:w="2254" w:type="dxa"/>
            <w:vAlign w:val="center"/>
          </w:tcPr>
          <w:p w14:paraId="35662E9F" w14:textId="78469BA5" w:rsidR="66FA1C5A" w:rsidRDefault="66FA1C5A" w:rsidP="248E6E5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248E6E5C">
              <w:rPr>
                <w:rFonts w:ascii="Calibri" w:hAnsi="Calibri" w:cs="Calibri"/>
                <w:i/>
                <w:iCs/>
                <w:sz w:val="22"/>
                <w:szCs w:val="22"/>
              </w:rPr>
              <w:t>CA12-5 (female only)</w:t>
            </w:r>
          </w:p>
        </w:tc>
        <w:tc>
          <w:tcPr>
            <w:tcW w:w="2580" w:type="dxa"/>
            <w:vAlign w:val="center"/>
          </w:tcPr>
          <w:p w14:paraId="01F35C4F" w14:textId="63AB5C03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B12</w:t>
            </w:r>
          </w:p>
        </w:tc>
        <w:tc>
          <w:tcPr>
            <w:tcW w:w="1928" w:type="dxa"/>
            <w:vAlign w:val="center"/>
          </w:tcPr>
          <w:p w14:paraId="599B9EBB" w14:textId="459DCA62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Ferritin</w:t>
            </w:r>
          </w:p>
        </w:tc>
      </w:tr>
      <w:tr w:rsidR="248E6E5C" w14:paraId="13805609" w14:textId="77777777" w:rsidTr="337D9C6B">
        <w:trPr>
          <w:trHeight w:val="300"/>
        </w:trPr>
        <w:tc>
          <w:tcPr>
            <w:tcW w:w="2254" w:type="dxa"/>
            <w:vAlign w:val="center"/>
          </w:tcPr>
          <w:p w14:paraId="2293FF2D" w14:textId="48B36A1F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Folate</w:t>
            </w:r>
          </w:p>
        </w:tc>
        <w:tc>
          <w:tcPr>
            <w:tcW w:w="2254" w:type="dxa"/>
            <w:vAlign w:val="center"/>
          </w:tcPr>
          <w:p w14:paraId="4318F6CF" w14:textId="1E09FB28" w:rsidR="66FA1C5A" w:rsidRDefault="66FA1C5A" w:rsidP="248E6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FIT</w:t>
            </w:r>
          </w:p>
        </w:tc>
        <w:tc>
          <w:tcPr>
            <w:tcW w:w="2580" w:type="dxa"/>
            <w:vAlign w:val="center"/>
          </w:tcPr>
          <w:p w14:paraId="3712E2EC" w14:textId="727F3DAE" w:rsidR="248E6E5C" w:rsidRDefault="248E6E5C" w:rsidP="248E6E5C">
            <w:pPr>
              <w:pStyle w:val="ListParagraph"/>
              <w:ind w:left="10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5FD9A82" w14:textId="1E7C365A" w:rsidR="248E6E5C" w:rsidRDefault="248E6E5C" w:rsidP="248E6E5C">
            <w:pPr>
              <w:pStyle w:val="ListParagraph"/>
              <w:ind w:left="10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B7EB0D" w14:textId="53FD6FF3" w:rsidR="248E6E5C" w:rsidRDefault="248E6E5C" w:rsidP="337D9C6B">
      <w:pPr>
        <w:spacing w:after="0"/>
        <w:rPr>
          <w:rFonts w:ascii="Calibri" w:hAnsi="Calibri" w:cs="Calibri"/>
          <w:i/>
          <w:iCs/>
          <w:sz w:val="20"/>
          <w:szCs w:val="20"/>
        </w:rPr>
      </w:pPr>
    </w:p>
    <w:p w14:paraId="22E9F72E" w14:textId="4E16B315" w:rsidR="248E6E5C" w:rsidRDefault="00C663FE" w:rsidP="7D9D4873">
      <w:pPr>
        <w:spacing w:after="0"/>
        <w:rPr>
          <w:rFonts w:ascii="Calibri" w:hAnsi="Calibri" w:cs="Calibri"/>
          <w:sz w:val="22"/>
          <w:szCs w:val="22"/>
        </w:rPr>
      </w:pPr>
      <w:r w:rsidRPr="7D9D4873">
        <w:rPr>
          <w:rFonts w:ascii="Calibri" w:hAnsi="Calibri" w:cs="Calibri"/>
          <w:sz w:val="22"/>
          <w:szCs w:val="22"/>
        </w:rPr>
        <w:t xml:space="preserve">Filter function tests should be used </w:t>
      </w:r>
      <w:r w:rsidR="1931E3BF" w:rsidRPr="7D9D4873">
        <w:rPr>
          <w:rFonts w:ascii="Calibri" w:hAnsi="Calibri" w:cs="Calibri"/>
          <w:sz w:val="22"/>
          <w:szCs w:val="22"/>
        </w:rPr>
        <w:t>to support</w:t>
      </w:r>
      <w:r w:rsidRPr="7D9D4873">
        <w:rPr>
          <w:rFonts w:ascii="Calibri" w:hAnsi="Calibri" w:cs="Calibri"/>
          <w:sz w:val="22"/>
          <w:szCs w:val="22"/>
        </w:rPr>
        <w:t xml:space="preserve"> </w:t>
      </w:r>
      <w:r w:rsidR="1233E7D4" w:rsidRPr="7D9D4873">
        <w:rPr>
          <w:rFonts w:ascii="Calibri" w:hAnsi="Calibri" w:cs="Calibri"/>
          <w:sz w:val="22"/>
          <w:szCs w:val="22"/>
        </w:rPr>
        <w:t xml:space="preserve">the referral pathway and to support </w:t>
      </w:r>
      <w:r w:rsidRPr="7D9D4873">
        <w:rPr>
          <w:rFonts w:ascii="Calibri" w:hAnsi="Calibri" w:cs="Calibri"/>
          <w:sz w:val="22"/>
          <w:szCs w:val="22"/>
        </w:rPr>
        <w:t>GPs to refer patients via the most appropriate route (that is, non-specific symptoms or site-specific)</w:t>
      </w:r>
      <w:r w:rsidR="00901FC1" w:rsidRPr="7D9D4873">
        <w:rPr>
          <w:rFonts w:ascii="Calibri" w:hAnsi="Calibri" w:cs="Calibri"/>
          <w:sz w:val="22"/>
          <w:szCs w:val="22"/>
        </w:rPr>
        <w:t xml:space="preserve">. This </w:t>
      </w:r>
      <w:r w:rsidRPr="7D9D4873">
        <w:rPr>
          <w:rFonts w:ascii="Calibri" w:hAnsi="Calibri" w:cs="Calibri"/>
          <w:sz w:val="22"/>
          <w:szCs w:val="22"/>
        </w:rPr>
        <w:t>lead</w:t>
      </w:r>
      <w:r w:rsidR="00901FC1" w:rsidRPr="7D9D4873">
        <w:rPr>
          <w:rFonts w:ascii="Calibri" w:hAnsi="Calibri" w:cs="Calibri"/>
          <w:sz w:val="22"/>
          <w:szCs w:val="22"/>
        </w:rPr>
        <w:t>s</w:t>
      </w:r>
      <w:r w:rsidRPr="7D9D4873">
        <w:rPr>
          <w:rFonts w:ascii="Calibri" w:hAnsi="Calibri" w:cs="Calibri"/>
          <w:sz w:val="22"/>
          <w:szCs w:val="22"/>
        </w:rPr>
        <w:t xml:space="preserve"> to a higher referral quality</w:t>
      </w:r>
      <w:r w:rsidR="00901FC1" w:rsidRPr="7D9D4873">
        <w:rPr>
          <w:rFonts w:ascii="Calibri" w:hAnsi="Calibri" w:cs="Calibri"/>
          <w:sz w:val="22"/>
          <w:szCs w:val="22"/>
        </w:rPr>
        <w:t xml:space="preserve">, </w:t>
      </w:r>
      <w:r w:rsidRPr="7D9D4873">
        <w:rPr>
          <w:rFonts w:ascii="Calibri" w:hAnsi="Calibri" w:cs="Calibri"/>
          <w:sz w:val="22"/>
          <w:szCs w:val="22"/>
        </w:rPr>
        <w:t>reduce</w:t>
      </w:r>
      <w:r w:rsidR="00901FC1" w:rsidRPr="7D9D4873">
        <w:rPr>
          <w:rFonts w:ascii="Calibri" w:hAnsi="Calibri" w:cs="Calibri"/>
          <w:sz w:val="22"/>
          <w:szCs w:val="22"/>
        </w:rPr>
        <w:t>s</w:t>
      </w:r>
      <w:r w:rsidRPr="7D9D4873">
        <w:rPr>
          <w:rFonts w:ascii="Calibri" w:hAnsi="Calibri" w:cs="Calibri"/>
          <w:sz w:val="22"/>
          <w:szCs w:val="22"/>
        </w:rPr>
        <w:t xml:space="preserve"> the risk of test duplication later in a patient’s pathway </w:t>
      </w:r>
      <w:r w:rsidR="00901FC1" w:rsidRPr="7D9D4873">
        <w:rPr>
          <w:rFonts w:ascii="Calibri" w:hAnsi="Calibri" w:cs="Calibri"/>
          <w:sz w:val="22"/>
          <w:szCs w:val="22"/>
        </w:rPr>
        <w:t>and</w:t>
      </w:r>
      <w:r w:rsidRPr="7D9D4873">
        <w:rPr>
          <w:rFonts w:ascii="Calibri" w:hAnsi="Calibri" w:cs="Calibri"/>
          <w:sz w:val="22"/>
          <w:szCs w:val="22"/>
        </w:rPr>
        <w:t xml:space="preserve"> ensure</w:t>
      </w:r>
      <w:r w:rsidR="00901FC1" w:rsidRPr="7D9D4873">
        <w:rPr>
          <w:rFonts w:ascii="Calibri" w:hAnsi="Calibri" w:cs="Calibri"/>
          <w:sz w:val="22"/>
          <w:szCs w:val="22"/>
        </w:rPr>
        <w:t>s</w:t>
      </w:r>
      <w:r w:rsidRPr="7D9D4873">
        <w:rPr>
          <w:rFonts w:ascii="Calibri" w:hAnsi="Calibri" w:cs="Calibri"/>
          <w:sz w:val="22"/>
          <w:szCs w:val="22"/>
        </w:rPr>
        <w:t xml:space="preserve"> all necessary pre-investigation</w:t>
      </w:r>
      <w:r w:rsidR="00901FC1" w:rsidRPr="7D9D4873">
        <w:rPr>
          <w:rFonts w:ascii="Calibri" w:hAnsi="Calibri" w:cs="Calibri"/>
          <w:sz w:val="22"/>
          <w:szCs w:val="22"/>
        </w:rPr>
        <w:t>s</w:t>
      </w:r>
      <w:r w:rsidRPr="7D9D4873">
        <w:rPr>
          <w:rFonts w:ascii="Calibri" w:hAnsi="Calibri" w:cs="Calibri"/>
          <w:sz w:val="22"/>
          <w:szCs w:val="22"/>
        </w:rPr>
        <w:t xml:space="preserve"> (</w:t>
      </w:r>
      <w:r w:rsidR="00901FC1" w:rsidRPr="7D9D4873">
        <w:rPr>
          <w:rFonts w:ascii="Calibri" w:hAnsi="Calibri" w:cs="Calibri"/>
          <w:sz w:val="22"/>
          <w:szCs w:val="22"/>
        </w:rPr>
        <w:t>e.g.</w:t>
      </w:r>
      <w:r w:rsidRPr="7D9D4873">
        <w:rPr>
          <w:rFonts w:ascii="Calibri" w:hAnsi="Calibri" w:cs="Calibri"/>
          <w:sz w:val="22"/>
          <w:szCs w:val="22"/>
        </w:rPr>
        <w:t xml:space="preserve"> kidney function) ha</w:t>
      </w:r>
      <w:r w:rsidR="00901FC1" w:rsidRPr="7D9D4873">
        <w:rPr>
          <w:rFonts w:ascii="Calibri" w:hAnsi="Calibri" w:cs="Calibri"/>
          <w:sz w:val="22"/>
          <w:szCs w:val="22"/>
        </w:rPr>
        <w:t>ve</w:t>
      </w:r>
      <w:r w:rsidRPr="7D9D4873">
        <w:rPr>
          <w:rFonts w:ascii="Calibri" w:hAnsi="Calibri" w:cs="Calibri"/>
          <w:sz w:val="22"/>
          <w:szCs w:val="22"/>
        </w:rPr>
        <w:t xml:space="preserve"> been completed, removing potential delays further along the pathway.</w:t>
      </w:r>
    </w:p>
    <w:p w14:paraId="1D2653B3" w14:textId="282A2FC2" w:rsidR="7D9D4873" w:rsidRDefault="7D9D4873" w:rsidP="7D9D4873">
      <w:pPr>
        <w:spacing w:after="0"/>
        <w:rPr>
          <w:rFonts w:ascii="Calibri" w:hAnsi="Calibri" w:cs="Calibri"/>
          <w:sz w:val="22"/>
          <w:szCs w:val="22"/>
        </w:rPr>
      </w:pPr>
    </w:p>
    <w:p w14:paraId="7381909D" w14:textId="393BA33C" w:rsidR="001E241A" w:rsidRPr="00640F77" w:rsidRDefault="00B57C74" w:rsidP="00FB36C8">
      <w:pPr>
        <w:rPr>
          <w:rFonts w:ascii="Calibri" w:hAnsi="Calibri" w:cs="Calibri"/>
          <w:sz w:val="22"/>
          <w:szCs w:val="22"/>
        </w:rPr>
      </w:pPr>
      <w:r w:rsidRPr="248E6E5C">
        <w:rPr>
          <w:rFonts w:ascii="Calibri" w:hAnsi="Calibri" w:cs="Calibri"/>
          <w:sz w:val="22"/>
          <w:szCs w:val="22"/>
        </w:rPr>
        <w:t xml:space="preserve">You may also wish to consider ordering </w:t>
      </w:r>
      <w:r w:rsidR="001320BF" w:rsidRPr="248E6E5C">
        <w:rPr>
          <w:rFonts w:ascii="Calibri" w:hAnsi="Calibri" w:cs="Calibri"/>
          <w:sz w:val="22"/>
          <w:szCs w:val="22"/>
        </w:rPr>
        <w:t>the following ‘optional’ tests as recommended by the Faster Diagnosis Framework where clinically indicated: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48E6E5C" w14:paraId="110F261C" w14:textId="77777777" w:rsidTr="7D9D4873">
        <w:trPr>
          <w:trHeight w:val="30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BDDFA88" w14:textId="6D051F04" w:rsidR="248E6E5C" w:rsidRDefault="248E6E5C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‘</w:t>
            </w:r>
            <w:r w:rsidRPr="248E6E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RDC NSS </w:t>
            </w:r>
            <w:r w:rsidR="7F0D3FFA" w:rsidRPr="248E6E5C">
              <w:rPr>
                <w:rFonts w:ascii="Calibri" w:hAnsi="Calibri" w:cs="Calibri"/>
                <w:b/>
                <w:bCs/>
                <w:sz w:val="22"/>
                <w:szCs w:val="22"/>
              </w:rPr>
              <w:t>Optional Tests</w:t>
            </w:r>
            <w:r w:rsidRPr="248E6E5C">
              <w:rPr>
                <w:rFonts w:ascii="Calibri" w:hAnsi="Calibri" w:cs="Calibri"/>
                <w:b/>
                <w:bCs/>
                <w:sz w:val="22"/>
                <w:szCs w:val="22"/>
              </w:rPr>
              <w:t>’</w:t>
            </w:r>
          </w:p>
        </w:tc>
      </w:tr>
      <w:tr w:rsidR="248E6E5C" w14:paraId="0005D3D1" w14:textId="77777777" w:rsidTr="7D9D4873">
        <w:trPr>
          <w:trHeight w:val="300"/>
        </w:trPr>
        <w:tc>
          <w:tcPr>
            <w:tcW w:w="2254" w:type="dxa"/>
          </w:tcPr>
          <w:p w14:paraId="632776F0" w14:textId="083F66E2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Coeliac serology</w:t>
            </w:r>
          </w:p>
        </w:tc>
        <w:tc>
          <w:tcPr>
            <w:tcW w:w="2254" w:type="dxa"/>
          </w:tcPr>
          <w:p w14:paraId="0208F642" w14:textId="2073CDFC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LDH</w:t>
            </w:r>
          </w:p>
        </w:tc>
        <w:tc>
          <w:tcPr>
            <w:tcW w:w="2254" w:type="dxa"/>
          </w:tcPr>
          <w:p w14:paraId="52C910F8" w14:textId="2DA21097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GGT</w:t>
            </w:r>
          </w:p>
        </w:tc>
        <w:tc>
          <w:tcPr>
            <w:tcW w:w="2254" w:type="dxa"/>
          </w:tcPr>
          <w:p w14:paraId="6511BC38" w14:textId="1717E130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HIV </w:t>
            </w:r>
          </w:p>
        </w:tc>
      </w:tr>
      <w:tr w:rsidR="248E6E5C" w14:paraId="4C54A15B" w14:textId="77777777" w:rsidTr="7D9D4873">
        <w:trPr>
          <w:trHeight w:val="300"/>
        </w:trPr>
        <w:tc>
          <w:tcPr>
            <w:tcW w:w="2254" w:type="dxa"/>
          </w:tcPr>
          <w:p w14:paraId="3A393449" w14:textId="568101A9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Hep B/C serology</w:t>
            </w:r>
          </w:p>
        </w:tc>
        <w:tc>
          <w:tcPr>
            <w:tcW w:w="4508" w:type="dxa"/>
            <w:gridSpan w:val="2"/>
          </w:tcPr>
          <w:p w14:paraId="65E2250B" w14:textId="64110D5D" w:rsidR="2BA9B274" w:rsidRDefault="2BA9B274" w:rsidP="248E6E5C">
            <w:pPr>
              <w:rPr>
                <w:rFonts w:ascii="Calibri" w:hAnsi="Calibri" w:cs="Calibri"/>
                <w:sz w:val="22"/>
                <w:szCs w:val="22"/>
              </w:rPr>
            </w:pPr>
            <w:r w:rsidRPr="248E6E5C">
              <w:rPr>
                <w:rFonts w:ascii="Calibri" w:hAnsi="Calibri" w:cs="Calibri"/>
                <w:sz w:val="22"/>
                <w:szCs w:val="22"/>
              </w:rPr>
              <w:t>Clotting (for lymphadenopathy referrals)</w:t>
            </w:r>
          </w:p>
        </w:tc>
        <w:tc>
          <w:tcPr>
            <w:tcW w:w="2254" w:type="dxa"/>
          </w:tcPr>
          <w:p w14:paraId="6162D0F7" w14:textId="3A8A05A1" w:rsidR="248E6E5C" w:rsidRDefault="7C39492A" w:rsidP="7D9D48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D9D4873">
              <w:rPr>
                <w:rFonts w:ascii="Calibri" w:hAnsi="Calibri" w:cs="Calibri"/>
                <w:sz w:val="22"/>
                <w:szCs w:val="22"/>
              </w:rPr>
              <w:t>glucose</w:t>
            </w:r>
          </w:p>
        </w:tc>
      </w:tr>
    </w:tbl>
    <w:p w14:paraId="08E898DE" w14:textId="0AE75C6B" w:rsidR="00105686" w:rsidRPr="00105686" w:rsidRDefault="00105686" w:rsidP="248E6E5C">
      <w:pPr>
        <w:rPr>
          <w:rFonts w:ascii="Calibri" w:hAnsi="Calibri" w:cs="Calibri"/>
          <w:sz w:val="22"/>
          <w:szCs w:val="22"/>
        </w:rPr>
      </w:pPr>
    </w:p>
    <w:p w14:paraId="0ECFF4D7" w14:textId="6A73431D" w:rsidR="00FB36C8" w:rsidRPr="00FB36C8" w:rsidRDefault="00FB36C8" w:rsidP="248E6E5C">
      <w:pPr>
        <w:jc w:val="both"/>
        <w:rPr>
          <w:rFonts w:ascii="Calibri" w:hAnsi="Calibri" w:cs="Calibri"/>
          <w:sz w:val="22"/>
          <w:szCs w:val="22"/>
        </w:rPr>
      </w:pPr>
      <w:r w:rsidRPr="466E13A6">
        <w:rPr>
          <w:rFonts w:ascii="Calibri" w:hAnsi="Calibri" w:cs="Calibri"/>
          <w:sz w:val="22"/>
          <w:szCs w:val="22"/>
        </w:rPr>
        <w:t xml:space="preserve">If you have any questions about the </w:t>
      </w:r>
      <w:r w:rsidR="379020C5" w:rsidRPr="466E13A6">
        <w:rPr>
          <w:rFonts w:ascii="Calibri" w:hAnsi="Calibri" w:cs="Calibri"/>
          <w:sz w:val="22"/>
          <w:szCs w:val="22"/>
        </w:rPr>
        <w:t xml:space="preserve">changes to the </w:t>
      </w:r>
      <w:r w:rsidRPr="466E13A6">
        <w:rPr>
          <w:rFonts w:ascii="Calibri" w:hAnsi="Calibri" w:cs="Calibri"/>
          <w:sz w:val="22"/>
          <w:szCs w:val="22"/>
        </w:rPr>
        <w:t>service</w:t>
      </w:r>
      <w:r w:rsidR="007A1267" w:rsidRPr="466E13A6">
        <w:rPr>
          <w:rFonts w:ascii="Calibri" w:hAnsi="Calibri" w:cs="Calibri"/>
          <w:sz w:val="22"/>
          <w:szCs w:val="22"/>
        </w:rPr>
        <w:t xml:space="preserve"> or if you require an update on a </w:t>
      </w:r>
      <w:r w:rsidR="33A0FE77" w:rsidRPr="466E13A6">
        <w:rPr>
          <w:rFonts w:ascii="Calibri" w:hAnsi="Calibri" w:cs="Calibri"/>
          <w:sz w:val="22"/>
          <w:szCs w:val="22"/>
        </w:rPr>
        <w:t>patient,</w:t>
      </w:r>
      <w:r w:rsidR="007A1267" w:rsidRPr="466E13A6">
        <w:rPr>
          <w:rFonts w:ascii="Calibri" w:hAnsi="Calibri" w:cs="Calibri"/>
          <w:sz w:val="22"/>
          <w:szCs w:val="22"/>
        </w:rPr>
        <w:t xml:space="preserve"> you have</w:t>
      </w:r>
      <w:r w:rsidR="62A6FB63" w:rsidRPr="466E13A6">
        <w:rPr>
          <w:rFonts w:ascii="Calibri" w:hAnsi="Calibri" w:cs="Calibri"/>
          <w:sz w:val="22"/>
          <w:szCs w:val="22"/>
        </w:rPr>
        <w:t xml:space="preserve"> </w:t>
      </w:r>
      <w:r w:rsidR="007A1267" w:rsidRPr="466E13A6">
        <w:rPr>
          <w:rFonts w:ascii="Calibri" w:hAnsi="Calibri" w:cs="Calibri"/>
          <w:sz w:val="22"/>
          <w:szCs w:val="22"/>
        </w:rPr>
        <w:t>referred</w:t>
      </w:r>
      <w:r w:rsidR="288226D8" w:rsidRPr="466E13A6">
        <w:rPr>
          <w:rFonts w:ascii="Calibri" w:hAnsi="Calibri" w:cs="Calibri"/>
          <w:sz w:val="22"/>
          <w:szCs w:val="22"/>
        </w:rPr>
        <w:t xml:space="preserve"> on the NSS pathway</w:t>
      </w:r>
      <w:r w:rsidRPr="466E13A6">
        <w:rPr>
          <w:rFonts w:ascii="Calibri" w:hAnsi="Calibri" w:cs="Calibri"/>
          <w:sz w:val="22"/>
          <w:szCs w:val="22"/>
        </w:rPr>
        <w:t>, please do contact us</w:t>
      </w:r>
      <w:r w:rsidR="635C096E" w:rsidRPr="466E13A6">
        <w:rPr>
          <w:rFonts w:ascii="Calibri" w:hAnsi="Calibri" w:cs="Calibri"/>
          <w:sz w:val="22"/>
          <w:szCs w:val="22"/>
        </w:rPr>
        <w:t>:</w:t>
      </w:r>
    </w:p>
    <w:p w14:paraId="279D498B" w14:textId="0D9879C4" w:rsidR="00FB36C8" w:rsidRPr="00FB36C8" w:rsidRDefault="5DE9F35E" w:rsidP="248E6E5C">
      <w:pPr>
        <w:jc w:val="both"/>
        <w:rPr>
          <w:rFonts w:ascii="Calibri" w:hAnsi="Calibri" w:cs="Calibri"/>
          <w:sz w:val="22"/>
          <w:szCs w:val="22"/>
        </w:rPr>
      </w:pPr>
      <w:r w:rsidRPr="248E6E5C">
        <w:rPr>
          <w:rFonts w:ascii="Segoe UI Emoji" w:eastAsia="Segoe UI Emoji" w:hAnsi="Segoe UI Emoji" w:cs="Segoe UI Emoji"/>
          <w:sz w:val="22"/>
          <w:szCs w:val="22"/>
        </w:rPr>
        <w:t>📞</w:t>
      </w:r>
      <w:r w:rsidR="00FB36C8" w:rsidRPr="248E6E5C">
        <w:rPr>
          <w:rFonts w:ascii="Calibri" w:hAnsi="Calibri" w:cs="Calibri"/>
          <w:sz w:val="22"/>
          <w:szCs w:val="22"/>
        </w:rPr>
        <w:t xml:space="preserve">07715 805 112, Monday to Friday, 9am to 5pm </w:t>
      </w:r>
    </w:p>
    <w:p w14:paraId="351F5CDB" w14:textId="67DA1D99" w:rsidR="00FB36C8" w:rsidRPr="00FB36C8" w:rsidRDefault="58F40AA6" w:rsidP="337D9C6B">
      <w:pPr>
        <w:jc w:val="both"/>
        <w:rPr>
          <w:rFonts w:ascii="Calibri" w:hAnsi="Calibri" w:cs="Calibri"/>
          <w:sz w:val="22"/>
          <w:szCs w:val="22"/>
        </w:rPr>
      </w:pPr>
      <w:hyperlink r:id="rId13">
        <w:r w:rsidRPr="466E13A6">
          <w:rPr>
            <w:rStyle w:val="Hyperlink"/>
            <w:rFonts w:ascii="Segoe UI Emoji" w:eastAsia="Segoe UI Emoji" w:hAnsi="Segoe UI Emoji" w:cs="Segoe UI Emoji"/>
            <w:sz w:val="22"/>
            <w:szCs w:val="22"/>
          </w:rPr>
          <w:t>📧</w:t>
        </w:r>
        <w:r w:rsidR="00FB36C8" w:rsidRPr="466E13A6">
          <w:rPr>
            <w:rStyle w:val="Hyperlink"/>
            <w:rFonts w:ascii="Calibri" w:hAnsi="Calibri" w:cs="Calibri"/>
            <w:sz w:val="22"/>
            <w:szCs w:val="22"/>
          </w:rPr>
          <w:t> bhnt.rapidaccessdiagnosticclinic@nhs.ne</w:t>
        </w:r>
        <w:r w:rsidR="1D78CE97" w:rsidRPr="466E13A6">
          <w:rPr>
            <w:rStyle w:val="Hyperlink"/>
            <w:rFonts w:ascii="Calibri" w:hAnsi="Calibri" w:cs="Calibri"/>
            <w:sz w:val="22"/>
            <w:szCs w:val="22"/>
          </w:rPr>
          <w:t>t</w:t>
        </w:r>
      </w:hyperlink>
      <w:r w:rsidR="1D78CE97" w:rsidRPr="466E13A6">
        <w:rPr>
          <w:rFonts w:ascii="Calibri" w:hAnsi="Calibri" w:cs="Calibri"/>
          <w:sz w:val="22"/>
          <w:szCs w:val="22"/>
        </w:rPr>
        <w:t xml:space="preserve"> </w:t>
      </w:r>
    </w:p>
    <w:p w14:paraId="358D02E2" w14:textId="0032D6D0" w:rsidR="7100FEA8" w:rsidRDefault="7100FEA8" w:rsidP="7D9D4873">
      <w:pPr>
        <w:rPr>
          <w:rFonts w:ascii="Calibri" w:eastAsia="Calibri" w:hAnsi="Calibri" w:cs="Calibri"/>
          <w:b/>
          <w:bCs/>
          <w:color w:val="212B32"/>
          <w:sz w:val="22"/>
          <w:szCs w:val="22"/>
        </w:rPr>
      </w:pPr>
      <w:r w:rsidRPr="7D9D4873">
        <w:rPr>
          <w:rFonts w:ascii="Calibri" w:eastAsia="Calibri" w:hAnsi="Calibri" w:cs="Calibri"/>
          <w:b/>
          <w:bCs/>
          <w:sz w:val="22"/>
          <w:szCs w:val="22"/>
        </w:rPr>
        <w:t xml:space="preserve">Appendix </w:t>
      </w:r>
      <w:r w:rsidR="53F04FE4" w:rsidRPr="7D9D4873">
        <w:rPr>
          <w:rFonts w:ascii="Calibri" w:eastAsia="Calibri" w:hAnsi="Calibri" w:cs="Calibri"/>
          <w:b/>
          <w:bCs/>
          <w:sz w:val="22"/>
          <w:szCs w:val="22"/>
        </w:rPr>
        <w:t>- a</w:t>
      </w:r>
      <w:r w:rsidR="6D4EA0D7" w:rsidRPr="7D9D4873">
        <w:rPr>
          <w:rFonts w:ascii="Calibri" w:eastAsia="Calibri" w:hAnsi="Calibri" w:cs="Calibri"/>
          <w:b/>
          <w:bCs/>
          <w:sz w:val="22"/>
          <w:szCs w:val="22"/>
        </w:rPr>
        <w:t xml:space="preserve"> guide to abbreviations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65"/>
        <w:gridCol w:w="2523"/>
        <w:gridCol w:w="5227"/>
      </w:tblGrid>
      <w:tr w:rsidR="7D9D4873" w14:paraId="207B885E" w14:textId="77777777" w:rsidTr="337D9C6B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78F5" w14:textId="2614A48B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Acronym 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6B6F" w14:textId="5027BA4A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Term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8119" w14:textId="6FE24B4B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Description 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7D9D4873" w14:paraId="45F2C9BD" w14:textId="77777777" w:rsidTr="337D9C6B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F199" w14:textId="1BD0CA3B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NSS 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28D0" w14:textId="372FF410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Non-Specific Symptoms (Source: NHS)   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75E4" w14:textId="448A232A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Patients who present with non-specific symptoms or </w:t>
            </w: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vague symptoms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(or combinations of non-specific symptoms) that can indicate several different cancers currently don’t have an established effective referral pathway   </w:t>
            </w:r>
          </w:p>
        </w:tc>
      </w:tr>
      <w:tr w:rsidR="7D9D4873" w14:paraId="3E45DA26" w14:textId="77777777" w:rsidTr="337D9C6B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9613" w14:textId="532E0852" w:rsidR="7D9D4873" w:rsidRDefault="7D9D4873" w:rsidP="7D9D4873">
            <w:pPr>
              <w:spacing w:after="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MUO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C15E" w14:textId="1DCD6D08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Malignancy of Undefined Primary Origin (Source: NICE)  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A2F1" w14:textId="618A6C4B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Metastatic malignancy </w:t>
            </w: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identified on the basis of a limited number of tests, without an obvious primary site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, before comprehensive investigation.  </w:t>
            </w:r>
          </w:p>
        </w:tc>
      </w:tr>
      <w:tr w:rsidR="7D9D4873" w14:paraId="71051E29" w14:textId="77777777" w:rsidTr="337D9C6B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2ADD" w14:textId="438B0BA9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CUP (provisional)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1514" w14:textId="71320D13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Provisional Carcinoma of Unknown Primary Origin (Source: NICE) 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6EE8" w14:textId="1E6F9BF2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Metastatic epithelial or neuro-endocrine malignancy </w:t>
            </w: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identified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on the basis of</w:t>
            </w:r>
            <w:proofErr w:type="gramEnd"/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histology or cytology, with no primary site detected 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despite a selected initial screen of investigations, before specialist review and possible further specialised investigations. </w:t>
            </w:r>
          </w:p>
        </w:tc>
      </w:tr>
      <w:tr w:rsidR="7D9D4873" w14:paraId="688935B9" w14:textId="77777777" w:rsidTr="337D9C6B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E60D" w14:textId="694E00B8" w:rsidR="7D9D4873" w:rsidRDefault="7D9D4873" w:rsidP="7D9D4873">
            <w:pPr>
              <w:spacing w:after="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lastRenderedPageBreak/>
              <w:t xml:space="preserve">CUP (confirmed)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A2E6" w14:textId="3FCC0FA0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Confirmed Carcinoma of Unknown Primary Origin (Source: NICE)  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322B" w14:textId="0367F12E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Metastatic epithelial or neuro-endocrine malignancy </w:t>
            </w: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identified on the basis of final histology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with no primary site detected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despite a selected initial screen of investigations, specialist review, and further specialised investigations as appropriate.  </w:t>
            </w:r>
          </w:p>
        </w:tc>
      </w:tr>
      <w:tr w:rsidR="7D9D4873" w14:paraId="40E654BB" w14:textId="77777777" w:rsidTr="337D9C6B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5437" w14:textId="6AFFBDE1" w:rsidR="7D9D4873" w:rsidRDefault="7D9D4873" w:rsidP="7D9D4873">
            <w:pPr>
              <w:spacing w:after="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RAS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B2BF" w14:textId="306B3A36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Referral Assessment </w:t>
            </w:r>
            <w:r w:rsidR="00006F60">
              <w:rPr>
                <w:rFonts w:ascii="Calibri" w:eastAsia="Calibri" w:hAnsi="Calibri" w:cs="Calibri"/>
                <w:sz w:val="21"/>
                <w:szCs w:val="21"/>
              </w:rPr>
              <w:t xml:space="preserve">Service 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>(Source: NHS Digital)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FEED" w14:textId="01137B27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Allows the provider to review the referral information </w:t>
            </w: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before a clinic appointment is generated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>. This facility supports complex care pathways, where it’s not always clear whether a patient needs a consultant appointment or a diagnostic test first. A RAS set up by the provider will ensure patients’ referrals are triaged correctly.</w:t>
            </w:r>
          </w:p>
        </w:tc>
      </w:tr>
      <w:tr w:rsidR="7D9D4873" w14:paraId="7C4C9192" w14:textId="77777777" w:rsidTr="337D9C6B">
        <w:trPr>
          <w:trHeight w:val="300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E11E" w14:textId="32A9E7BD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337D9C6B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RDC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652D" w14:textId="407D00BD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Rapid Diagnostic Centre (Source: BHRUT </w:t>
            </w:r>
            <w:r w:rsidR="2378E964" w:rsidRPr="7D9D4873">
              <w:rPr>
                <w:rFonts w:ascii="Calibri" w:eastAsia="Calibri" w:hAnsi="Calibri" w:cs="Calibri"/>
                <w:sz w:val="21"/>
                <w:szCs w:val="21"/>
              </w:rPr>
              <w:t>&amp;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Barts Health)   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954A" w14:textId="60B13DD4" w:rsidR="7D9D4873" w:rsidRDefault="7D9D4873" w:rsidP="7D9D4873">
            <w:pPr>
              <w:spacing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 w:rsidRPr="7D9D487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clinically led service</w:t>
            </w:r>
            <w:r w:rsidRPr="7D9D4873">
              <w:rPr>
                <w:rFonts w:ascii="Calibri" w:eastAsia="Calibri" w:hAnsi="Calibri" w:cs="Calibri"/>
                <w:sz w:val="21"/>
                <w:szCs w:val="21"/>
              </w:rPr>
              <w:t xml:space="preserve"> at the Trust that provides a one stop clinic where symptoms are fully investigated to provide a timely diagnosis   </w:t>
            </w:r>
          </w:p>
        </w:tc>
      </w:tr>
    </w:tbl>
    <w:p w14:paraId="71003D9D" w14:textId="50CE3170" w:rsidR="7D9D4873" w:rsidRDefault="7D9D4873" w:rsidP="7D9D4873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F81D14C" w14:textId="52680ACE" w:rsidR="7D9D4873" w:rsidRDefault="7D9D4873" w:rsidP="7D9D4873">
      <w:pPr>
        <w:rPr>
          <w:rFonts w:ascii="Calibri" w:eastAsia="Calibri" w:hAnsi="Calibri" w:cs="Calibri"/>
          <w:b/>
          <w:bCs/>
          <w:sz w:val="22"/>
          <w:szCs w:val="22"/>
        </w:rPr>
      </w:pPr>
    </w:p>
    <w:sectPr w:rsidR="7D9D4873" w:rsidSect="0030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CCDA"/>
    <w:multiLevelType w:val="hybridMultilevel"/>
    <w:tmpl w:val="7A50DE6E"/>
    <w:lvl w:ilvl="0" w:tplc="E128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28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26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6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2D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2F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C6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2A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0A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CEC"/>
    <w:multiLevelType w:val="multilevel"/>
    <w:tmpl w:val="961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62AB2"/>
    <w:multiLevelType w:val="multilevel"/>
    <w:tmpl w:val="3868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CC577B"/>
    <w:multiLevelType w:val="hybridMultilevel"/>
    <w:tmpl w:val="823CE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57D8"/>
    <w:multiLevelType w:val="hybridMultilevel"/>
    <w:tmpl w:val="CB7A8D7C"/>
    <w:lvl w:ilvl="0" w:tplc="4072C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3C92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8ABA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F6AC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76BF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1EF0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D4A4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8833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964D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07E627"/>
    <w:multiLevelType w:val="hybridMultilevel"/>
    <w:tmpl w:val="9DA8DBEC"/>
    <w:lvl w:ilvl="0" w:tplc="92F09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E5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0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E8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E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46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0E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8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CC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E9A19"/>
    <w:multiLevelType w:val="hybridMultilevel"/>
    <w:tmpl w:val="98489844"/>
    <w:lvl w:ilvl="0" w:tplc="DF623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62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0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5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9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CE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9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1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6B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3D4"/>
    <w:multiLevelType w:val="hybridMultilevel"/>
    <w:tmpl w:val="911C73F6"/>
    <w:lvl w:ilvl="0" w:tplc="27487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14A5B"/>
    <w:multiLevelType w:val="hybridMultilevel"/>
    <w:tmpl w:val="C2BADF04"/>
    <w:lvl w:ilvl="0" w:tplc="56904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C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2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4A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23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E1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A6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0A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0C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81EE5"/>
    <w:multiLevelType w:val="hybridMultilevel"/>
    <w:tmpl w:val="110A270A"/>
    <w:lvl w:ilvl="0" w:tplc="FAC01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2D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8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C1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29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E0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AD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48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4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68634">
    <w:abstractNumId w:val="4"/>
  </w:num>
  <w:num w:numId="2" w16cid:durableId="1200698967">
    <w:abstractNumId w:val="8"/>
  </w:num>
  <w:num w:numId="3" w16cid:durableId="296767444">
    <w:abstractNumId w:val="5"/>
  </w:num>
  <w:num w:numId="4" w16cid:durableId="1931893576">
    <w:abstractNumId w:val="0"/>
  </w:num>
  <w:num w:numId="5" w16cid:durableId="1616595029">
    <w:abstractNumId w:val="6"/>
  </w:num>
  <w:num w:numId="6" w16cid:durableId="1229073444">
    <w:abstractNumId w:val="9"/>
  </w:num>
  <w:num w:numId="7" w16cid:durableId="515968067">
    <w:abstractNumId w:val="1"/>
  </w:num>
  <w:num w:numId="8" w16cid:durableId="1242256892">
    <w:abstractNumId w:val="2"/>
  </w:num>
  <w:num w:numId="9" w16cid:durableId="841972641">
    <w:abstractNumId w:val="3"/>
  </w:num>
  <w:num w:numId="10" w16cid:durableId="183090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8"/>
    <w:rsid w:val="00006F60"/>
    <w:rsid w:val="00045D9C"/>
    <w:rsid w:val="000563F2"/>
    <w:rsid w:val="00105686"/>
    <w:rsid w:val="0011111E"/>
    <w:rsid w:val="0011609E"/>
    <w:rsid w:val="001320BF"/>
    <w:rsid w:val="001633B4"/>
    <w:rsid w:val="00171C96"/>
    <w:rsid w:val="001A17D7"/>
    <w:rsid w:val="001E241A"/>
    <w:rsid w:val="001EFEC6"/>
    <w:rsid w:val="00210954"/>
    <w:rsid w:val="00211C43"/>
    <w:rsid w:val="0021253D"/>
    <w:rsid w:val="00232FE3"/>
    <w:rsid w:val="002510D2"/>
    <w:rsid w:val="0026532D"/>
    <w:rsid w:val="00280CA5"/>
    <w:rsid w:val="00294564"/>
    <w:rsid w:val="003005EF"/>
    <w:rsid w:val="003175D2"/>
    <w:rsid w:val="00321AE3"/>
    <w:rsid w:val="0035332F"/>
    <w:rsid w:val="003D7B26"/>
    <w:rsid w:val="00407BE6"/>
    <w:rsid w:val="00453E3A"/>
    <w:rsid w:val="004625C5"/>
    <w:rsid w:val="00480327"/>
    <w:rsid w:val="00492416"/>
    <w:rsid w:val="004B5977"/>
    <w:rsid w:val="00504356"/>
    <w:rsid w:val="00523CF4"/>
    <w:rsid w:val="00527B2D"/>
    <w:rsid w:val="0053743B"/>
    <w:rsid w:val="005536B3"/>
    <w:rsid w:val="00577353"/>
    <w:rsid w:val="005E61CC"/>
    <w:rsid w:val="006338B5"/>
    <w:rsid w:val="00640F77"/>
    <w:rsid w:val="006442E9"/>
    <w:rsid w:val="006A01E1"/>
    <w:rsid w:val="006B3555"/>
    <w:rsid w:val="006E01C6"/>
    <w:rsid w:val="007178A5"/>
    <w:rsid w:val="00721FC5"/>
    <w:rsid w:val="00796E17"/>
    <w:rsid w:val="007A1267"/>
    <w:rsid w:val="007D5CEB"/>
    <w:rsid w:val="007F6AA9"/>
    <w:rsid w:val="00833CF3"/>
    <w:rsid w:val="00870E18"/>
    <w:rsid w:val="008A02A7"/>
    <w:rsid w:val="008A0A71"/>
    <w:rsid w:val="008F20C6"/>
    <w:rsid w:val="00901FC1"/>
    <w:rsid w:val="00903629"/>
    <w:rsid w:val="00903714"/>
    <w:rsid w:val="00974C2C"/>
    <w:rsid w:val="00982BBB"/>
    <w:rsid w:val="009E3259"/>
    <w:rsid w:val="00A00A39"/>
    <w:rsid w:val="00A12603"/>
    <w:rsid w:val="00A23322"/>
    <w:rsid w:val="00A411AE"/>
    <w:rsid w:val="00A411D3"/>
    <w:rsid w:val="00A42010"/>
    <w:rsid w:val="00A6547D"/>
    <w:rsid w:val="00AA0836"/>
    <w:rsid w:val="00AA7B6B"/>
    <w:rsid w:val="00AB10D7"/>
    <w:rsid w:val="00AD0D2B"/>
    <w:rsid w:val="00AD581F"/>
    <w:rsid w:val="00AF2EF2"/>
    <w:rsid w:val="00AF35F2"/>
    <w:rsid w:val="00B02891"/>
    <w:rsid w:val="00B41BC5"/>
    <w:rsid w:val="00B57C74"/>
    <w:rsid w:val="00B67A2E"/>
    <w:rsid w:val="00BF5FBD"/>
    <w:rsid w:val="00BF764F"/>
    <w:rsid w:val="00BF7DD3"/>
    <w:rsid w:val="00C663FE"/>
    <w:rsid w:val="00C737DE"/>
    <w:rsid w:val="00CA5F10"/>
    <w:rsid w:val="00CB5C3D"/>
    <w:rsid w:val="00D57FE2"/>
    <w:rsid w:val="00D80368"/>
    <w:rsid w:val="00D83435"/>
    <w:rsid w:val="00D906B3"/>
    <w:rsid w:val="00DF07A3"/>
    <w:rsid w:val="00E204D9"/>
    <w:rsid w:val="00E5324A"/>
    <w:rsid w:val="00FB36C8"/>
    <w:rsid w:val="00FE4A49"/>
    <w:rsid w:val="00FF6A19"/>
    <w:rsid w:val="03B86CB8"/>
    <w:rsid w:val="03BE3C43"/>
    <w:rsid w:val="056F2A95"/>
    <w:rsid w:val="0576356F"/>
    <w:rsid w:val="057FF59E"/>
    <w:rsid w:val="05929903"/>
    <w:rsid w:val="089A4178"/>
    <w:rsid w:val="08A84B76"/>
    <w:rsid w:val="08C17E5B"/>
    <w:rsid w:val="08F68848"/>
    <w:rsid w:val="09990DD4"/>
    <w:rsid w:val="0A0B3C04"/>
    <w:rsid w:val="0B63B1AA"/>
    <w:rsid w:val="0BA7E607"/>
    <w:rsid w:val="0D37F832"/>
    <w:rsid w:val="0EEB15A0"/>
    <w:rsid w:val="0F7FCAE2"/>
    <w:rsid w:val="0F7FD77E"/>
    <w:rsid w:val="11020249"/>
    <w:rsid w:val="1233E7D4"/>
    <w:rsid w:val="135B87CE"/>
    <w:rsid w:val="136F00F4"/>
    <w:rsid w:val="14EC3169"/>
    <w:rsid w:val="14ED7B22"/>
    <w:rsid w:val="16663C47"/>
    <w:rsid w:val="1823D6BF"/>
    <w:rsid w:val="1931E3BF"/>
    <w:rsid w:val="1A0EECBD"/>
    <w:rsid w:val="1A62F495"/>
    <w:rsid w:val="1A6AAD24"/>
    <w:rsid w:val="1B5AF009"/>
    <w:rsid w:val="1D78CE97"/>
    <w:rsid w:val="1ED9C2ED"/>
    <w:rsid w:val="1EDF6D75"/>
    <w:rsid w:val="1EEE36A0"/>
    <w:rsid w:val="1F346541"/>
    <w:rsid w:val="1F5205C8"/>
    <w:rsid w:val="1FCACF80"/>
    <w:rsid w:val="205BF794"/>
    <w:rsid w:val="21329186"/>
    <w:rsid w:val="2168E6AD"/>
    <w:rsid w:val="2378E964"/>
    <w:rsid w:val="248E6E5C"/>
    <w:rsid w:val="24A42E16"/>
    <w:rsid w:val="24D47BDC"/>
    <w:rsid w:val="26CB64D3"/>
    <w:rsid w:val="278511E2"/>
    <w:rsid w:val="2796EF06"/>
    <w:rsid w:val="279930DB"/>
    <w:rsid w:val="27E10317"/>
    <w:rsid w:val="2843C45C"/>
    <w:rsid w:val="28671E72"/>
    <w:rsid w:val="288226D8"/>
    <w:rsid w:val="28F711FE"/>
    <w:rsid w:val="2B1E534F"/>
    <w:rsid w:val="2B55D3F8"/>
    <w:rsid w:val="2B8436E6"/>
    <w:rsid w:val="2B998007"/>
    <w:rsid w:val="2BA9B274"/>
    <w:rsid w:val="2BAFE470"/>
    <w:rsid w:val="2BCF0D3E"/>
    <w:rsid w:val="2C6AAB22"/>
    <w:rsid w:val="2D1E1C61"/>
    <w:rsid w:val="2D31B6AA"/>
    <w:rsid w:val="2FDDEAFE"/>
    <w:rsid w:val="30EC6722"/>
    <w:rsid w:val="337D9C6B"/>
    <w:rsid w:val="33A0FE77"/>
    <w:rsid w:val="35EB6215"/>
    <w:rsid w:val="36084C79"/>
    <w:rsid w:val="37325DB0"/>
    <w:rsid w:val="379020C5"/>
    <w:rsid w:val="39ABD7C3"/>
    <w:rsid w:val="3BDF5C52"/>
    <w:rsid w:val="3E2510C1"/>
    <w:rsid w:val="3E7F5F43"/>
    <w:rsid w:val="3ED150A7"/>
    <w:rsid w:val="3F3A8F12"/>
    <w:rsid w:val="3FC01FEC"/>
    <w:rsid w:val="3FDB912A"/>
    <w:rsid w:val="4122C85A"/>
    <w:rsid w:val="42B4AD04"/>
    <w:rsid w:val="4350B928"/>
    <w:rsid w:val="43C920AC"/>
    <w:rsid w:val="43EAF0CF"/>
    <w:rsid w:val="448252CE"/>
    <w:rsid w:val="44BECCD9"/>
    <w:rsid w:val="45193840"/>
    <w:rsid w:val="466E13A6"/>
    <w:rsid w:val="46C87AB6"/>
    <w:rsid w:val="495654C4"/>
    <w:rsid w:val="4D5B9D35"/>
    <w:rsid w:val="4E5D5C45"/>
    <w:rsid w:val="4F18E684"/>
    <w:rsid w:val="4FD453A6"/>
    <w:rsid w:val="50A988D5"/>
    <w:rsid w:val="5157DFDE"/>
    <w:rsid w:val="51DF6CC5"/>
    <w:rsid w:val="523EB2DB"/>
    <w:rsid w:val="52A3E3F2"/>
    <w:rsid w:val="53501B86"/>
    <w:rsid w:val="53F04FE4"/>
    <w:rsid w:val="54B34ECC"/>
    <w:rsid w:val="54CF67C4"/>
    <w:rsid w:val="553A5299"/>
    <w:rsid w:val="554C7B54"/>
    <w:rsid w:val="5578C5E9"/>
    <w:rsid w:val="579CE13F"/>
    <w:rsid w:val="58BE0D13"/>
    <w:rsid w:val="58F40AA6"/>
    <w:rsid w:val="5BDEC2A0"/>
    <w:rsid w:val="5BE95DEF"/>
    <w:rsid w:val="5C82750E"/>
    <w:rsid w:val="5DE9F35E"/>
    <w:rsid w:val="5DF94D6C"/>
    <w:rsid w:val="61140BD9"/>
    <w:rsid w:val="612E6802"/>
    <w:rsid w:val="620EB0E7"/>
    <w:rsid w:val="62A6FB63"/>
    <w:rsid w:val="635C096E"/>
    <w:rsid w:val="63942643"/>
    <w:rsid w:val="64D9C1F0"/>
    <w:rsid w:val="64DCF008"/>
    <w:rsid w:val="658372A4"/>
    <w:rsid w:val="66FA1C5A"/>
    <w:rsid w:val="676C0BFB"/>
    <w:rsid w:val="68248FA9"/>
    <w:rsid w:val="69C8057B"/>
    <w:rsid w:val="6A127459"/>
    <w:rsid w:val="6A248738"/>
    <w:rsid w:val="6AC25B62"/>
    <w:rsid w:val="6AF213AB"/>
    <w:rsid w:val="6D4EA0D7"/>
    <w:rsid w:val="6D90AC44"/>
    <w:rsid w:val="6DF2A903"/>
    <w:rsid w:val="6E0A1F11"/>
    <w:rsid w:val="6E4B106C"/>
    <w:rsid w:val="6EA981EB"/>
    <w:rsid w:val="6FFBACB5"/>
    <w:rsid w:val="7100FEA8"/>
    <w:rsid w:val="710F39F9"/>
    <w:rsid w:val="719E7F50"/>
    <w:rsid w:val="7302123B"/>
    <w:rsid w:val="735A8DCC"/>
    <w:rsid w:val="7381276C"/>
    <w:rsid w:val="74C9F43B"/>
    <w:rsid w:val="75075E17"/>
    <w:rsid w:val="75F2139C"/>
    <w:rsid w:val="76646676"/>
    <w:rsid w:val="7768167D"/>
    <w:rsid w:val="780B3F42"/>
    <w:rsid w:val="79437039"/>
    <w:rsid w:val="7A095B92"/>
    <w:rsid w:val="7C0C51F1"/>
    <w:rsid w:val="7C39492A"/>
    <w:rsid w:val="7C54E6E6"/>
    <w:rsid w:val="7D429A3A"/>
    <w:rsid w:val="7D9D4873"/>
    <w:rsid w:val="7DA3F35D"/>
    <w:rsid w:val="7F0D3FFA"/>
    <w:rsid w:val="7F78C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D655"/>
  <w15:chartTrackingRefBased/>
  <w15:docId w15:val="{81F96036-BA15-4B93-8ED5-DAA72A7B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6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36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6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2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01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F60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canceralliance.nhs.uk/sites/default/files/2024-07/Early%20Cancer%20Diagnosis%20PCN%20DES%20and%20QOF%20Support%20Guide%20July%202024.pdf" TargetMode="External"/><Relationship Id="rId13" Type="http://schemas.openxmlformats.org/officeDocument/2006/relationships/hyperlink" Target="mailto:&#128231;&#160;bhnt.rapidaccessdiagnosticclinic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hs.sharepoint.com/:f:/s/msteams_61464c/Ej7YurbdjZdHnOorGpEAcT8BP755UM_uYyoPqxl8Aqnu1g?e=3zj6V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tewayc.org.uk/cancer-map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ps.cityandhackneyccg.nhs.uk/pathways/direct-access-for-unintentional-significant-weight-los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imarycare.northeastlondon.icb.nhs.uk/home/diagnostics/barts-health-gp-direct-access-to-ct-for-suspected-pancreatic-canc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24e5997-6f2b-4b84-a379-d8413c8e964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BE18E6ACEDF4E8F8AFA06E933BD83" ma:contentTypeVersion="19" ma:contentTypeDescription="Create a new document." ma:contentTypeScope="" ma:versionID="7c5deb6f97f76f14f2fc789e8e54e385">
  <xsd:schema xmlns:xsd="http://www.w3.org/2001/XMLSchema" xmlns:xs="http://www.w3.org/2001/XMLSchema" xmlns:p="http://schemas.microsoft.com/office/2006/metadata/properties" xmlns:ns1="http://schemas.microsoft.com/sharepoint/v3" xmlns:ns3="5e82dc57-ca5e-41a7-9b7c-988994591531" xmlns:ns4="e24e5997-6f2b-4b84-a379-d8413c8e964d" targetNamespace="http://schemas.microsoft.com/office/2006/metadata/properties" ma:root="true" ma:fieldsID="2fdf594e2277793c55dba7d8f08a8caf" ns1:_="" ns3:_="" ns4:_="">
    <xsd:import namespace="http://schemas.microsoft.com/sharepoint/v3"/>
    <xsd:import namespace="5e82dc57-ca5e-41a7-9b7c-988994591531"/>
    <xsd:import namespace="e24e5997-6f2b-4b84-a379-d8413c8e96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2dc57-ca5e-41a7-9b7c-988994591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5997-6f2b-4b84-a379-d8413c8e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143DB-9E28-4AD8-B605-D0B465628C5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24e5997-6f2b-4b84-a379-d8413c8e964d"/>
    <ds:schemaRef ds:uri="5e82dc57-ca5e-41a7-9b7c-9889945915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D4DF80-8532-4D1F-947B-33BD7471E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F82B5-947D-4201-90C7-287AAF5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82dc57-ca5e-41a7-9b7c-988994591531"/>
    <ds:schemaRef ds:uri="e24e5997-6f2b-4b84-a379-d8413c8e9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906</Words>
  <Characters>5168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Parker-Deeks</dc:creator>
  <cp:keywords/>
  <dc:description/>
  <cp:lastModifiedBy>CARTER, Zoe (BARTS HEALTH NHS TRUST)</cp:lastModifiedBy>
  <cp:revision>2</cp:revision>
  <dcterms:created xsi:type="dcterms:W3CDTF">2025-02-12T12:21:00Z</dcterms:created>
  <dcterms:modified xsi:type="dcterms:W3CDTF">2025-02-12T12:21:00Z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1884727f-beab-48c8-8433-344df0081dcc</vt:lpwstr>
  </property>
  <property fmtid="{D5CDD505-2E9C-101B-9397-08002B2CF9AE}" pid="3" name="ContentTypeId">
    <vt:lpwstr>0x010100D5CBE18E6ACEDF4E8F8AFA06E933BD83</vt:lpwstr>
  </property>
</Properties>
</file>