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D39E9" w14:textId="4984D3ED" w:rsidR="006D41C0" w:rsidRDefault="006D41C0" w:rsidP="006D41C0">
      <w:pPr>
        <w:rPr>
          <w:b/>
          <w:bCs/>
          <w:color w:val="005EB8"/>
          <w:sz w:val="32"/>
          <w:szCs w:val="32"/>
        </w:rPr>
      </w:pPr>
      <w:r>
        <w:rPr>
          <w:b/>
          <w:bCs/>
          <w:color w:val="005EB8"/>
          <w:sz w:val="32"/>
          <w:szCs w:val="32"/>
        </w:rPr>
        <w:t>1</w:t>
      </w:r>
      <w:r w:rsidR="0050650C">
        <w:rPr>
          <w:b/>
          <w:bCs/>
          <w:color w:val="005EB8"/>
          <w:sz w:val="32"/>
          <w:szCs w:val="32"/>
        </w:rPr>
        <w:t>8</w:t>
      </w:r>
      <w:r>
        <w:rPr>
          <w:b/>
          <w:bCs/>
          <w:color w:val="005EB8"/>
          <w:sz w:val="32"/>
          <w:szCs w:val="32"/>
        </w:rPr>
        <w:t xml:space="preserve"> February 2025</w:t>
      </w:r>
    </w:p>
    <w:p w14:paraId="3AC46DA9" w14:textId="77777777" w:rsidR="006D41C0" w:rsidRDefault="006D41C0" w:rsidP="00AE4039">
      <w:pPr>
        <w:rPr>
          <w:b/>
          <w:bCs/>
          <w:color w:val="005EB8"/>
          <w:sz w:val="32"/>
          <w:szCs w:val="32"/>
        </w:rPr>
      </w:pPr>
    </w:p>
    <w:p w14:paraId="3ACA0A98" w14:textId="0BC6022B" w:rsidR="009C65F2" w:rsidRPr="005467F8" w:rsidRDefault="009C65F2" w:rsidP="00AE4039">
      <w:pPr>
        <w:rPr>
          <w:b/>
          <w:bCs/>
          <w:color w:val="005EB8"/>
          <w:sz w:val="32"/>
          <w:szCs w:val="32"/>
        </w:rPr>
      </w:pPr>
      <w:r w:rsidRPr="005467F8">
        <w:rPr>
          <w:b/>
          <w:bCs/>
          <w:color w:val="005EB8"/>
          <w:sz w:val="32"/>
          <w:szCs w:val="32"/>
        </w:rPr>
        <w:t>Guidance</w:t>
      </w:r>
      <w:r w:rsidR="006B7068" w:rsidRPr="005467F8">
        <w:rPr>
          <w:b/>
          <w:bCs/>
          <w:color w:val="005EB8"/>
          <w:sz w:val="32"/>
          <w:szCs w:val="32"/>
        </w:rPr>
        <w:t xml:space="preserve"> </w:t>
      </w:r>
      <w:r w:rsidRPr="005467F8">
        <w:rPr>
          <w:b/>
          <w:bCs/>
          <w:color w:val="005EB8"/>
          <w:sz w:val="32"/>
          <w:szCs w:val="32"/>
        </w:rPr>
        <w:t xml:space="preserve">note for managing Pancreatic Enzyme Replacement Therapy supply (PERT) shortages </w:t>
      </w:r>
      <w:r w:rsidR="001E7DC5">
        <w:rPr>
          <w:b/>
          <w:bCs/>
          <w:color w:val="005EB8"/>
          <w:sz w:val="32"/>
          <w:szCs w:val="32"/>
        </w:rPr>
        <w:t>–</w:t>
      </w:r>
      <w:r w:rsidR="00D935EB">
        <w:rPr>
          <w:b/>
          <w:bCs/>
          <w:color w:val="005EB8"/>
          <w:sz w:val="32"/>
          <w:szCs w:val="32"/>
        </w:rPr>
        <w:t xml:space="preserve"> </w:t>
      </w:r>
      <w:r w:rsidR="001E7DC5">
        <w:rPr>
          <w:b/>
          <w:bCs/>
          <w:color w:val="005EB8"/>
          <w:sz w:val="32"/>
          <w:szCs w:val="32"/>
        </w:rPr>
        <w:t xml:space="preserve">Whole System </w:t>
      </w:r>
    </w:p>
    <w:p w14:paraId="366561B2" w14:textId="77777777" w:rsidR="006B7068" w:rsidRDefault="006B7068" w:rsidP="009C65F2">
      <w:pPr>
        <w:jc w:val="both"/>
        <w:rPr>
          <w:b/>
          <w:bCs/>
          <w:color w:val="0070C0"/>
          <w:sz w:val="32"/>
          <w:szCs w:val="32"/>
        </w:rPr>
      </w:pPr>
    </w:p>
    <w:p w14:paraId="74052E73" w14:textId="0EC3D302" w:rsidR="009C65F2" w:rsidRPr="00AB5ED6" w:rsidRDefault="009C65F2" w:rsidP="00E66310">
      <w:pPr>
        <w:spacing w:after="120"/>
        <w:jc w:val="both"/>
      </w:pPr>
      <w:r>
        <w:t xml:space="preserve">This guidance note applies to prescribers in primary care and secondary care, NHS trust pharmacy teams and community pharmacies. It has been developed to support the implementation of the National Patient Safety Alert: Shortage of Pancreatic </w:t>
      </w:r>
      <w:r w:rsidR="00725545">
        <w:t>E</w:t>
      </w:r>
      <w:r>
        <w:t xml:space="preserve">nzyme </w:t>
      </w:r>
      <w:r w:rsidR="00725545">
        <w:t>R</w:t>
      </w:r>
      <w:r>
        <w:t xml:space="preserve">eplacement </w:t>
      </w:r>
      <w:r w:rsidR="00725545">
        <w:t>T</w:t>
      </w:r>
      <w:r>
        <w:t>herapy (PERT) Additional actions Reference Number: (</w:t>
      </w:r>
      <w:hyperlink r:id="rId11" w:history="1">
        <w:r w:rsidRPr="3029E5F7">
          <w:rPr>
            <w:rStyle w:val="Hyperlink"/>
            <w:rFonts w:eastAsia="Times New Roman"/>
            <w:color w:val="0070C0"/>
          </w:rPr>
          <w:t>NatPSA</w:t>
        </w:r>
      </w:hyperlink>
      <w:hyperlink r:id="rId12">
        <w:r w:rsidR="00306551" w:rsidRPr="3029E5F7">
          <w:rPr>
            <w:rStyle w:val="Hyperlink"/>
            <w:rFonts w:eastAsia="Times New Roman"/>
            <w:color w:val="0070C0"/>
          </w:rPr>
          <w:t>/2024/013/DHSC</w:t>
        </w:r>
      </w:hyperlink>
      <w:r w:rsidR="00306551">
        <w:t>)</w:t>
      </w:r>
      <w:r w:rsidR="00675D53">
        <w:t>.</w:t>
      </w:r>
    </w:p>
    <w:p w14:paraId="6384E4FB" w14:textId="2A1A25C9" w:rsidR="00672907" w:rsidRPr="00514088" w:rsidRDefault="009C65F2" w:rsidP="00E66310">
      <w:pPr>
        <w:jc w:val="both"/>
      </w:pPr>
      <w:r>
        <w:t xml:space="preserve">Pancreatic </w:t>
      </w:r>
      <w:r w:rsidR="00725545">
        <w:t>E</w:t>
      </w:r>
      <w:r>
        <w:t xml:space="preserve">nzyme </w:t>
      </w:r>
      <w:r w:rsidR="00725545">
        <w:t>R</w:t>
      </w:r>
      <w:r>
        <w:t xml:space="preserve">eplacement </w:t>
      </w:r>
      <w:r w:rsidR="00725545">
        <w:t>T</w:t>
      </w:r>
      <w:r>
        <w:t xml:space="preserve">herapy (PERT) </w:t>
      </w:r>
      <w:r w:rsidR="0050650C">
        <w:t xml:space="preserve">is </w:t>
      </w:r>
      <w:r>
        <w:t xml:space="preserve">for the treatment of pancreatic exocrine insufficiency </w:t>
      </w:r>
      <w:r w:rsidR="555DBE7B">
        <w:t>in</w:t>
      </w:r>
      <w:r>
        <w:t xml:space="preserve"> </w:t>
      </w:r>
      <w:r w:rsidR="0BB7F743">
        <w:t xml:space="preserve">conditions </w:t>
      </w:r>
      <w:r>
        <w:t xml:space="preserve">such as cystic fibrosis, pancreatic cancer and pancreatitis. </w:t>
      </w:r>
      <w:r w:rsidRPr="75D6EB98">
        <w:rPr>
          <w:b/>
        </w:rPr>
        <w:t xml:space="preserve">Patients </w:t>
      </w:r>
      <w:r w:rsidR="00514088" w:rsidRPr="75D6EB98">
        <w:rPr>
          <w:b/>
        </w:rPr>
        <w:t xml:space="preserve">cannot be left </w:t>
      </w:r>
      <w:r w:rsidRPr="75D6EB98">
        <w:rPr>
          <w:b/>
        </w:rPr>
        <w:t>with</w:t>
      </w:r>
      <w:r w:rsidR="00514088" w:rsidRPr="75D6EB98">
        <w:rPr>
          <w:b/>
        </w:rPr>
        <w:t>out</w:t>
      </w:r>
      <w:r w:rsidRPr="75D6EB98">
        <w:rPr>
          <w:b/>
        </w:rPr>
        <w:t xml:space="preserve"> </w:t>
      </w:r>
      <w:r w:rsidR="00514088" w:rsidRPr="75D6EB98">
        <w:rPr>
          <w:b/>
        </w:rPr>
        <w:t>PERT</w:t>
      </w:r>
      <w:r w:rsidR="00560B81" w:rsidRPr="75D6EB98">
        <w:rPr>
          <w:b/>
        </w:rPr>
        <w:t xml:space="preserve"> because </w:t>
      </w:r>
      <w:r w:rsidR="00B01018" w:rsidRPr="75D6EB98">
        <w:rPr>
          <w:b/>
        </w:rPr>
        <w:t xml:space="preserve">it </w:t>
      </w:r>
      <w:r w:rsidR="004B1B4B" w:rsidRPr="75D6EB98">
        <w:rPr>
          <w:b/>
        </w:rPr>
        <w:t>can</w:t>
      </w:r>
      <w:r w:rsidR="00B01018" w:rsidRPr="75D6EB98">
        <w:rPr>
          <w:b/>
        </w:rPr>
        <w:t xml:space="preserve"> cause severe harm</w:t>
      </w:r>
      <w:r>
        <w:t xml:space="preserve">. </w:t>
      </w:r>
      <w:r w:rsidR="00D06C03">
        <w:t xml:space="preserve">This can lead to hypoglycaemia, severe bowel symptoms, poor absorption of other medications and weight loss. </w:t>
      </w:r>
      <w:r>
        <w:t xml:space="preserve">This document summarises the current challenges with </w:t>
      </w:r>
      <w:r w:rsidR="00725545">
        <w:t>PERT</w:t>
      </w:r>
      <w:r w:rsidR="00D40CDD">
        <w:t xml:space="preserve"> </w:t>
      </w:r>
      <w:r w:rsidR="00725545">
        <w:t>supply and</w:t>
      </w:r>
      <w:r>
        <w:t xml:space="preserve"> provides local advice and actions.</w:t>
      </w:r>
    </w:p>
    <w:p w14:paraId="2E0586CC" w14:textId="21F5EC8D" w:rsidR="009C65F2" w:rsidRPr="005467F8" w:rsidRDefault="00672907" w:rsidP="00672907">
      <w:pPr>
        <w:pStyle w:val="Heading2"/>
        <w:rPr>
          <w:color w:val="005EB8"/>
        </w:rPr>
      </w:pPr>
      <w:r w:rsidRPr="005467F8">
        <w:rPr>
          <w:color w:val="005EB8"/>
        </w:rPr>
        <w:t>Summary of the current issues</w:t>
      </w:r>
      <w:r w:rsidR="0089189F" w:rsidRPr="005467F8">
        <w:rPr>
          <w:color w:val="005EB8"/>
        </w:rPr>
        <w:t xml:space="preserve"> (January 2025)</w:t>
      </w:r>
    </w:p>
    <w:p w14:paraId="451DB85D" w14:textId="77777777" w:rsidR="008A08B5" w:rsidRDefault="008A08B5" w:rsidP="008A08B5"/>
    <w:p w14:paraId="13FD6043" w14:textId="244DB4DD" w:rsidR="00725D0D" w:rsidRDefault="00725D0D" w:rsidP="00725D0D">
      <w:r>
        <w:t>There are limited supplies of PERT in the UK. I</w:t>
      </w:r>
      <w:r w:rsidRPr="00803D23">
        <w:t xml:space="preserve">t is important that we take steps to ensure that patients in North East London </w:t>
      </w:r>
      <w:r>
        <w:t xml:space="preserve">(NEL) </w:t>
      </w:r>
      <w:r w:rsidRPr="00803D23">
        <w:t xml:space="preserve">can continue to access the medicines they </w:t>
      </w:r>
      <w:r w:rsidR="00370FA9" w:rsidRPr="00803D23">
        <w:t>need</w:t>
      </w:r>
      <w:r w:rsidR="00370FA9">
        <w:t xml:space="preserve"> when</w:t>
      </w:r>
      <w:r w:rsidRPr="00803D23">
        <w:t xml:space="preserve"> they need them. Please reassure patients that supplies of </w:t>
      </w:r>
      <w:r>
        <w:t xml:space="preserve">PERT </w:t>
      </w:r>
      <w:r w:rsidRPr="00803D23">
        <w:t>are continuing to reach the UK</w:t>
      </w:r>
      <w:r>
        <w:t xml:space="preserve">. Below is a summary of current supply distribution: </w:t>
      </w:r>
    </w:p>
    <w:p w14:paraId="7A62A42E" w14:textId="77777777" w:rsidR="00725D0D" w:rsidRPr="00C42433" w:rsidRDefault="00725D0D" w:rsidP="00725D0D">
      <w:pPr>
        <w:rPr>
          <w:rFonts w:ascii="Arial" w:hAnsi="Arial" w:cs="Arial"/>
          <w:sz w:val="24"/>
          <w:szCs w:val="28"/>
        </w:rPr>
      </w:pPr>
    </w:p>
    <w:p w14:paraId="3541819B" w14:textId="77777777" w:rsidR="00725D0D" w:rsidRPr="00335A5E" w:rsidRDefault="00725D0D" w:rsidP="00725D0D">
      <w:pPr>
        <w:pStyle w:val="ListParagraph"/>
        <w:numPr>
          <w:ilvl w:val="0"/>
          <w:numId w:val="14"/>
        </w:numPr>
        <w:rPr>
          <w:szCs w:val="22"/>
        </w:rPr>
      </w:pPr>
      <w:r w:rsidRPr="00335A5E">
        <w:rPr>
          <w:rFonts w:ascii="Arial" w:hAnsi="Arial" w:cs="Arial"/>
          <w:b/>
          <w:bCs/>
          <w:szCs w:val="22"/>
        </w:rPr>
        <w:t>Creon® 25000 and Creon ®10000 capsules</w:t>
      </w:r>
      <w:r w:rsidRPr="00335A5E">
        <w:rPr>
          <w:rFonts w:ascii="Arial" w:hAnsi="Arial" w:cs="Arial"/>
          <w:szCs w:val="22"/>
        </w:rPr>
        <w:t>:</w:t>
      </w:r>
      <w:r>
        <w:rPr>
          <w:szCs w:val="22"/>
        </w:rPr>
        <w:t xml:space="preserve"> Limited supply until 2 January 2026</w:t>
      </w:r>
      <w:r w:rsidRPr="00335A5E">
        <w:rPr>
          <w:szCs w:val="22"/>
        </w:rPr>
        <w:t xml:space="preserve">, capped quantities until 2026. Supply disruption is due to limited availability of the active pharmaceutical ingredients and manufacturing constraints. There are </w:t>
      </w:r>
      <w:hyperlink r:id="rId13" w:history="1">
        <w:r w:rsidRPr="00335A5E">
          <w:rPr>
            <w:rStyle w:val="Hyperlink"/>
            <w:szCs w:val="22"/>
          </w:rPr>
          <w:t>Serious Shortage Protocols (SSPs)</w:t>
        </w:r>
      </w:hyperlink>
      <w:r w:rsidRPr="00335A5E">
        <w:rPr>
          <w:szCs w:val="22"/>
        </w:rPr>
        <w:t xml:space="preserve"> for Creon® 25000 capsules and Creon® 10000 capsules</w:t>
      </w:r>
      <w:r>
        <w:rPr>
          <w:szCs w:val="22"/>
        </w:rPr>
        <w:t xml:space="preserve">. </w:t>
      </w:r>
    </w:p>
    <w:p w14:paraId="2D15EBC1" w14:textId="77777777" w:rsidR="00725D0D" w:rsidRPr="00335A5E" w:rsidRDefault="00725D0D" w:rsidP="00725D0D">
      <w:pPr>
        <w:pStyle w:val="ListParagraph"/>
        <w:numPr>
          <w:ilvl w:val="0"/>
          <w:numId w:val="14"/>
        </w:numPr>
        <w:rPr>
          <w:rFonts w:ascii="Arial" w:hAnsi="Arial" w:cs="Arial"/>
          <w:szCs w:val="22"/>
        </w:rPr>
      </w:pPr>
      <w:r w:rsidRPr="00335A5E">
        <w:rPr>
          <w:rFonts w:ascii="Arial" w:hAnsi="Arial" w:cs="Arial"/>
          <w:b/>
          <w:bCs/>
          <w:szCs w:val="22"/>
        </w:rPr>
        <w:t>Nutrizym® 22 capsules</w:t>
      </w:r>
      <w:r w:rsidRPr="00335A5E">
        <w:rPr>
          <w:rFonts w:ascii="Arial" w:hAnsi="Arial" w:cs="Arial"/>
          <w:szCs w:val="22"/>
        </w:rPr>
        <w:t>: Limited supply</w:t>
      </w:r>
      <w:r>
        <w:rPr>
          <w:rFonts w:ascii="Arial" w:hAnsi="Arial" w:cs="Arial"/>
          <w:szCs w:val="22"/>
        </w:rPr>
        <w:t>. P</w:t>
      </w:r>
      <w:r w:rsidRPr="00335A5E">
        <w:rPr>
          <w:rFonts w:ascii="Arial" w:hAnsi="Arial" w:cs="Arial"/>
          <w:szCs w:val="22"/>
        </w:rPr>
        <w:t>rioriti</w:t>
      </w:r>
      <w:r>
        <w:rPr>
          <w:rFonts w:ascii="Arial" w:hAnsi="Arial" w:cs="Arial"/>
          <w:szCs w:val="22"/>
        </w:rPr>
        <w:t>s</w:t>
      </w:r>
      <w:r w:rsidRPr="00335A5E">
        <w:rPr>
          <w:rFonts w:ascii="Arial" w:hAnsi="Arial" w:cs="Arial"/>
          <w:szCs w:val="22"/>
        </w:rPr>
        <w:t>ed for those unable to tolerate Creon preparations.</w:t>
      </w:r>
      <w:r w:rsidRPr="00335A5E">
        <w:rPr>
          <w:szCs w:val="22"/>
        </w:rPr>
        <w:t xml:space="preserve"> Supply disruption is caused by increased demand due to reduction in Creon® preparation supply.</w:t>
      </w:r>
    </w:p>
    <w:p w14:paraId="3D0219CA" w14:textId="5420390F" w:rsidR="00725D0D" w:rsidRPr="00335A5E" w:rsidRDefault="00725D0D" w:rsidP="00725D0D">
      <w:pPr>
        <w:pStyle w:val="ListParagraph"/>
        <w:numPr>
          <w:ilvl w:val="0"/>
          <w:numId w:val="14"/>
        </w:numPr>
        <w:rPr>
          <w:rFonts w:ascii="Arial" w:hAnsi="Arial" w:cs="Arial"/>
          <w:szCs w:val="22"/>
        </w:rPr>
      </w:pPr>
      <w:r w:rsidRPr="00335A5E">
        <w:rPr>
          <w:rFonts w:ascii="Arial" w:hAnsi="Arial" w:cs="Arial"/>
          <w:b/>
          <w:bCs/>
          <w:szCs w:val="22"/>
        </w:rPr>
        <w:t>Pancrex V® 125mg capsules</w:t>
      </w:r>
      <w:r w:rsidRPr="00335A5E">
        <w:rPr>
          <w:rFonts w:ascii="Arial" w:hAnsi="Arial" w:cs="Arial"/>
          <w:szCs w:val="22"/>
        </w:rPr>
        <w:t xml:space="preserve">: Unavailable. Expected to be out of stock until </w:t>
      </w:r>
      <w:r w:rsidRPr="00335A5E">
        <w:rPr>
          <w:szCs w:val="22"/>
        </w:rPr>
        <w:t>3 Jan 2025</w:t>
      </w:r>
      <w:r w:rsidR="00D40CDD">
        <w:rPr>
          <w:szCs w:val="22"/>
        </w:rPr>
        <w:t>.</w:t>
      </w:r>
    </w:p>
    <w:p w14:paraId="14A42996" w14:textId="29A56968" w:rsidR="00725D0D" w:rsidRPr="00335A5E" w:rsidRDefault="00725D0D" w:rsidP="00725D0D">
      <w:pPr>
        <w:pStyle w:val="ListParagraph"/>
        <w:numPr>
          <w:ilvl w:val="0"/>
          <w:numId w:val="14"/>
        </w:numPr>
        <w:rPr>
          <w:rFonts w:ascii="Arial" w:hAnsi="Arial" w:cs="Arial"/>
          <w:szCs w:val="22"/>
        </w:rPr>
      </w:pPr>
      <w:r w:rsidRPr="00335A5E">
        <w:rPr>
          <w:rFonts w:ascii="Arial" w:hAnsi="Arial" w:cs="Arial"/>
          <w:b/>
          <w:bCs/>
          <w:szCs w:val="22"/>
        </w:rPr>
        <w:t>Pancrex V® 340mg capsules</w:t>
      </w:r>
      <w:r w:rsidRPr="00335A5E">
        <w:rPr>
          <w:rFonts w:ascii="Arial" w:hAnsi="Arial" w:cs="Arial"/>
          <w:szCs w:val="22"/>
        </w:rPr>
        <w:t>: Unavailable. Expected to be out of stock until 6 June 2025</w:t>
      </w:r>
      <w:r w:rsidR="00D40CDD">
        <w:rPr>
          <w:rFonts w:ascii="Arial" w:hAnsi="Arial" w:cs="Arial"/>
          <w:szCs w:val="22"/>
        </w:rPr>
        <w:t>.</w:t>
      </w:r>
    </w:p>
    <w:p w14:paraId="78DC12BD" w14:textId="77777777" w:rsidR="00725D0D" w:rsidRPr="00335A5E" w:rsidRDefault="00725D0D" w:rsidP="00725D0D">
      <w:pPr>
        <w:pStyle w:val="ListParagraph"/>
        <w:numPr>
          <w:ilvl w:val="0"/>
          <w:numId w:val="14"/>
        </w:numPr>
        <w:rPr>
          <w:rFonts w:ascii="Arial" w:hAnsi="Arial" w:cs="Arial"/>
          <w:szCs w:val="22"/>
        </w:rPr>
      </w:pPr>
      <w:r w:rsidRPr="00335A5E">
        <w:rPr>
          <w:rFonts w:ascii="Arial" w:hAnsi="Arial" w:cs="Arial"/>
          <w:b/>
          <w:bCs/>
          <w:szCs w:val="22"/>
        </w:rPr>
        <w:t>Pancrex V® oral powder</w:t>
      </w:r>
      <w:r w:rsidRPr="00335A5E">
        <w:rPr>
          <w:rFonts w:ascii="Arial" w:hAnsi="Arial" w:cs="Arial"/>
          <w:szCs w:val="22"/>
        </w:rPr>
        <w:t>:</w:t>
      </w:r>
      <w:r w:rsidRPr="005B3D3E">
        <w:rPr>
          <w:rFonts w:ascii="Arial" w:hAnsi="Arial" w:cs="Arial"/>
          <w:szCs w:val="22"/>
        </w:rPr>
        <w:t xml:space="preserve"> </w:t>
      </w:r>
      <w:r w:rsidRPr="00335A5E">
        <w:rPr>
          <w:rFonts w:ascii="Arial" w:hAnsi="Arial" w:cs="Arial"/>
          <w:szCs w:val="22"/>
        </w:rPr>
        <w:t>Unavailable</w:t>
      </w:r>
      <w:r>
        <w:rPr>
          <w:rFonts w:ascii="Arial" w:hAnsi="Arial" w:cs="Arial"/>
          <w:szCs w:val="22"/>
        </w:rPr>
        <w:t>.</w:t>
      </w:r>
      <w:r w:rsidRPr="000B750C">
        <w:rPr>
          <w:rFonts w:ascii="Arial" w:hAnsi="Arial" w:cs="Arial"/>
          <w:szCs w:val="22"/>
        </w:rPr>
        <w:t xml:space="preserve"> </w:t>
      </w:r>
      <w:r w:rsidRPr="00335A5E">
        <w:rPr>
          <w:rFonts w:ascii="Arial" w:hAnsi="Arial" w:cs="Arial"/>
          <w:szCs w:val="22"/>
        </w:rPr>
        <w:t xml:space="preserve">Expected to be out of stock until </w:t>
      </w:r>
      <w:r>
        <w:rPr>
          <w:rFonts w:ascii="Arial" w:hAnsi="Arial" w:cs="Arial"/>
          <w:szCs w:val="22"/>
        </w:rPr>
        <w:t>2 May 2025.</w:t>
      </w:r>
    </w:p>
    <w:p w14:paraId="2DC7E628" w14:textId="77777777" w:rsidR="00725D0D" w:rsidRPr="00335A5E" w:rsidRDefault="00725D0D" w:rsidP="00725D0D">
      <w:pPr>
        <w:pStyle w:val="ListParagraph"/>
        <w:numPr>
          <w:ilvl w:val="0"/>
          <w:numId w:val="14"/>
        </w:numPr>
        <w:rPr>
          <w:rFonts w:ascii="Arial" w:hAnsi="Arial" w:cs="Arial"/>
          <w:b/>
          <w:bCs/>
          <w:szCs w:val="22"/>
        </w:rPr>
      </w:pPr>
      <w:r w:rsidRPr="00335A5E">
        <w:rPr>
          <w:b/>
          <w:bCs/>
          <w:szCs w:val="22"/>
        </w:rPr>
        <w:t xml:space="preserve">Unlicensed imports e.g. Creon® Imported, Pangrol ®: </w:t>
      </w:r>
      <w:r w:rsidRPr="00335A5E">
        <w:rPr>
          <w:szCs w:val="22"/>
        </w:rPr>
        <w:t xml:space="preserve">Lead times vary (ensure orders are placed within appropriate time frames). </w:t>
      </w:r>
      <w:r w:rsidRPr="00335A5E">
        <w:rPr>
          <w:rFonts w:ascii="Arial" w:hAnsi="Arial" w:cs="Arial"/>
          <w:szCs w:val="22"/>
        </w:rPr>
        <w:t xml:space="preserve">Only consider where licensed alternatives are unavailable. </w:t>
      </w:r>
    </w:p>
    <w:p w14:paraId="68D54BFE" w14:textId="77777777" w:rsidR="00725D0D" w:rsidRDefault="00725D0D" w:rsidP="00725D0D"/>
    <w:p w14:paraId="17575EF4" w14:textId="59D149B4" w:rsidR="00716CF0" w:rsidRDefault="00725D0D" w:rsidP="00725D0D">
      <w:r w:rsidRPr="00697D95">
        <w:t>Pangrol® is an unlicensed imported pancreatic enzyme preparation available in equivalent</w:t>
      </w:r>
      <w:r>
        <w:t xml:space="preserve"> </w:t>
      </w:r>
      <w:r w:rsidRPr="00697D95">
        <w:t>strengths to Creon® (licensed and imported</w:t>
      </w:r>
      <w:r>
        <w:t xml:space="preserve">). </w:t>
      </w:r>
      <w:r w:rsidRPr="00FD63D1">
        <w:rPr>
          <w:rFonts w:ascii="Arial" w:eastAsia="Times New Roman" w:hAnsi="Arial" w:cs="Arial"/>
          <w:lang w:eastAsia="en-GB"/>
        </w:rPr>
        <w:t>For updates on stock availability, optimisation of doses and symptom control, as well as information on switching between products and available unlicensed preparations, please refer to the S</w:t>
      </w:r>
      <w:r>
        <w:rPr>
          <w:rFonts w:ascii="Arial" w:eastAsia="Times New Roman" w:hAnsi="Arial" w:cs="Arial"/>
          <w:lang w:eastAsia="en-GB"/>
        </w:rPr>
        <w:t>pecialist Pharmacy Service (SPS)</w:t>
      </w:r>
      <w:r w:rsidRPr="00FD63D1">
        <w:rPr>
          <w:rFonts w:ascii="Arial" w:eastAsia="Times New Roman" w:hAnsi="Arial" w:cs="Arial"/>
          <w:lang w:eastAsia="en-GB"/>
        </w:rPr>
        <w:t xml:space="preserve"> webpage </w:t>
      </w:r>
      <w:hyperlink r:id="rId14" w:history="1">
        <w:r w:rsidRPr="009423D0">
          <w:rPr>
            <w:rStyle w:val="Hyperlink"/>
            <w:rFonts w:ascii="Arial" w:eastAsia="Times New Roman" w:hAnsi="Arial" w:cs="Arial"/>
            <w:color w:val="0070C0"/>
            <w:lang w:eastAsia="en-GB"/>
          </w:rPr>
          <w:t>‘prescribing and ordering available pancreatic enzyme replacement therapies’</w:t>
        </w:r>
      </w:hyperlink>
    </w:p>
    <w:p w14:paraId="712B0B62" w14:textId="77777777" w:rsidR="00725D0D" w:rsidRDefault="00725D0D" w:rsidP="00725D0D"/>
    <w:p w14:paraId="07D1153E" w14:textId="77777777" w:rsidR="009423D0" w:rsidRDefault="009423D0" w:rsidP="009423D0"/>
    <w:p w14:paraId="7F54D76A" w14:textId="3A9A8AA4" w:rsidR="004D7552" w:rsidRDefault="004D7552">
      <w:pPr>
        <w:rPr>
          <w:rFonts w:ascii="Arial Bold" w:eastAsiaTheme="majorEastAsia" w:hAnsi="Arial Bold" w:cs="Times New Roman (Headings CS)"/>
          <w:b/>
          <w:color w:val="0070C0"/>
          <w:kern w:val="32"/>
          <w:sz w:val="32"/>
          <w:szCs w:val="26"/>
        </w:rPr>
      </w:pPr>
    </w:p>
    <w:tbl>
      <w:tblPr>
        <w:tblStyle w:val="GridTable4"/>
        <w:tblW w:w="10485" w:type="dxa"/>
        <w:tblLook w:val="04A0" w:firstRow="1" w:lastRow="0" w:firstColumn="1" w:lastColumn="0" w:noHBand="0" w:noVBand="1"/>
      </w:tblPr>
      <w:tblGrid>
        <w:gridCol w:w="10485"/>
      </w:tblGrid>
      <w:tr w:rsidR="00B66420" w14:paraId="40F92101" w14:textId="77777777" w:rsidTr="00815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4B20B629" w14:textId="77777777" w:rsidR="00B66420" w:rsidRPr="00556314" w:rsidRDefault="00B66420" w:rsidP="008151BE">
            <w:pPr>
              <w:pStyle w:val="Heading2"/>
            </w:pPr>
            <w:r w:rsidRPr="00556314">
              <w:lastRenderedPageBreak/>
              <w:t xml:space="preserve">Actions for prescribers in secondary care </w:t>
            </w:r>
          </w:p>
        </w:tc>
      </w:tr>
      <w:tr w:rsidR="00B66420" w14:paraId="4428EE0D" w14:textId="77777777" w:rsidTr="008151BE">
        <w:tc>
          <w:tcPr>
            <w:cnfStyle w:val="001000000000" w:firstRow="0" w:lastRow="0" w:firstColumn="1" w:lastColumn="0" w:oddVBand="0" w:evenVBand="0" w:oddHBand="0" w:evenHBand="0" w:firstRowFirstColumn="0" w:firstRowLastColumn="0" w:lastRowFirstColumn="0" w:lastRowLastColumn="0"/>
            <w:tcW w:w="10485" w:type="dxa"/>
          </w:tcPr>
          <w:p w14:paraId="30740299" w14:textId="77777777" w:rsidR="00B66420" w:rsidRPr="00625665" w:rsidRDefault="00B66420" w:rsidP="008151BE">
            <w:pPr>
              <w:pStyle w:val="ListParagraph"/>
              <w:numPr>
                <w:ilvl w:val="0"/>
                <w:numId w:val="6"/>
              </w:numPr>
              <w:ind w:left="360"/>
              <w:rPr>
                <w:b w:val="0"/>
                <w:bCs w:val="0"/>
              </w:rPr>
            </w:pPr>
            <w:r w:rsidRPr="00670988">
              <w:rPr>
                <w:b w:val="0"/>
                <w:bCs w:val="0"/>
              </w:rPr>
              <w:t>Ensure prescriptions of PERT are for</w:t>
            </w:r>
            <w:r w:rsidRPr="00B01018">
              <w:t xml:space="preserve"> a maximum of one month’s supply</w:t>
            </w:r>
            <w:r w:rsidRPr="00556314">
              <w:rPr>
                <w:b w:val="0"/>
                <w:bCs w:val="0"/>
              </w:rPr>
              <w:t>.</w:t>
            </w:r>
          </w:p>
          <w:p w14:paraId="6D947C40" w14:textId="77777777" w:rsidR="00B66420" w:rsidRPr="00556314" w:rsidRDefault="00B66420" w:rsidP="008151BE">
            <w:pPr>
              <w:pStyle w:val="ListParagraph"/>
              <w:numPr>
                <w:ilvl w:val="0"/>
                <w:numId w:val="6"/>
              </w:numPr>
              <w:ind w:left="360"/>
              <w:rPr>
                <w:b w:val="0"/>
                <w:bCs w:val="0"/>
              </w:rPr>
            </w:pPr>
            <w:r w:rsidRPr="00556314">
              <w:rPr>
                <w:b w:val="0"/>
                <w:bCs w:val="0"/>
              </w:rPr>
              <w:t>Maintain patients under specialist care on licensed PERT preparations where possible</w:t>
            </w:r>
          </w:p>
          <w:p w14:paraId="746F86D4" w14:textId="77777777" w:rsidR="00B66420" w:rsidRPr="004D7552" w:rsidRDefault="00B66420" w:rsidP="00B66420">
            <w:pPr>
              <w:pStyle w:val="ListParagraph"/>
              <w:numPr>
                <w:ilvl w:val="0"/>
                <w:numId w:val="15"/>
              </w:numPr>
              <w:rPr>
                <w:b w:val="0"/>
                <w:bCs w:val="0"/>
              </w:rPr>
            </w:pPr>
            <w:r w:rsidRPr="00556314">
              <w:rPr>
                <w:b w:val="0"/>
                <w:bCs w:val="0"/>
              </w:rPr>
              <w:t xml:space="preserve">Creon® 10000 capsules should be reserved for people unable to take Creon® 25000 capsules e.g. children and people who are unable to swallow larger capsules. </w:t>
            </w:r>
          </w:p>
          <w:p w14:paraId="75945C49" w14:textId="77777777" w:rsidR="00B66420" w:rsidRPr="00556314" w:rsidRDefault="00B66420" w:rsidP="00B66420">
            <w:pPr>
              <w:pStyle w:val="ListParagraph"/>
              <w:numPr>
                <w:ilvl w:val="0"/>
                <w:numId w:val="15"/>
              </w:numPr>
              <w:rPr>
                <w:b w:val="0"/>
                <w:bCs w:val="0"/>
              </w:rPr>
            </w:pPr>
            <w:r w:rsidRPr="00556314">
              <w:rPr>
                <w:b w:val="0"/>
                <w:bCs w:val="0"/>
              </w:rPr>
              <w:t>Creon® Micro Pancreatin 60.12mg capsules are prioritised for children and those with dysphagia who are unable to open the Creon® 25000 capsules.</w:t>
            </w:r>
          </w:p>
          <w:p w14:paraId="57A564AA" w14:textId="77777777" w:rsidR="00B66420" w:rsidRPr="00556314" w:rsidRDefault="00B66420" w:rsidP="00B66420">
            <w:pPr>
              <w:pStyle w:val="ListParagraph"/>
              <w:numPr>
                <w:ilvl w:val="0"/>
                <w:numId w:val="15"/>
              </w:numPr>
              <w:rPr>
                <w:b w:val="0"/>
                <w:bCs w:val="0"/>
              </w:rPr>
            </w:pPr>
            <w:r w:rsidRPr="00556314">
              <w:rPr>
                <w:b w:val="0"/>
                <w:bCs w:val="0"/>
              </w:rPr>
              <w:t xml:space="preserve">Nutrizym® 22 should be prioritised for people who are unable to tolerate Creon®. This is not suitable for children under 15 years of age. </w:t>
            </w:r>
          </w:p>
          <w:p w14:paraId="7F13A93E" w14:textId="49C98C01" w:rsidR="00B66420" w:rsidRPr="00556314" w:rsidRDefault="00B66420" w:rsidP="00B66420">
            <w:pPr>
              <w:pStyle w:val="ListParagraph"/>
              <w:numPr>
                <w:ilvl w:val="0"/>
                <w:numId w:val="15"/>
              </w:numPr>
              <w:rPr>
                <w:b w:val="0"/>
                <w:bCs w:val="0"/>
              </w:rPr>
            </w:pPr>
            <w:r w:rsidRPr="00556314">
              <w:rPr>
                <w:b w:val="0"/>
                <w:bCs w:val="0"/>
              </w:rPr>
              <w:t>Pancrex® V powder should be prioritised for patients receiving enteral feeding tubes. This is not an appropriate product for patients to take orally in most cases</w:t>
            </w:r>
            <w:r w:rsidR="00D40CDD">
              <w:rPr>
                <w:b w:val="0"/>
                <w:bCs w:val="0"/>
              </w:rPr>
              <w:t>.</w:t>
            </w:r>
          </w:p>
          <w:p w14:paraId="3050A769" w14:textId="0703E155" w:rsidR="00B66420" w:rsidRPr="00556314" w:rsidRDefault="00B66420" w:rsidP="008151BE">
            <w:pPr>
              <w:pStyle w:val="ListParagraph"/>
              <w:numPr>
                <w:ilvl w:val="0"/>
                <w:numId w:val="7"/>
              </w:numPr>
              <w:ind w:left="360"/>
              <w:rPr>
                <w:b w:val="0"/>
                <w:bCs w:val="0"/>
              </w:rPr>
            </w:pPr>
            <w:r w:rsidRPr="00556314">
              <w:rPr>
                <w:b w:val="0"/>
                <w:bCs w:val="0"/>
              </w:rPr>
              <w:t xml:space="preserve">Liaise with </w:t>
            </w:r>
            <w:r w:rsidR="00F726A7">
              <w:rPr>
                <w:b w:val="0"/>
                <w:bCs w:val="0"/>
              </w:rPr>
              <w:t xml:space="preserve">trust </w:t>
            </w:r>
            <w:r w:rsidRPr="00556314">
              <w:rPr>
                <w:b w:val="0"/>
                <w:bCs w:val="0"/>
              </w:rPr>
              <w:t xml:space="preserve">pharmacy teams if patients managed and prescribed PERT by specialists are having trouble obtaining licensed PERT preparations. </w:t>
            </w:r>
          </w:p>
          <w:p w14:paraId="21333299" w14:textId="3AE8330D" w:rsidR="00B66420" w:rsidRPr="00126000" w:rsidRDefault="00B66420" w:rsidP="008151BE">
            <w:pPr>
              <w:pStyle w:val="ListParagraph"/>
              <w:numPr>
                <w:ilvl w:val="0"/>
                <w:numId w:val="7"/>
              </w:numPr>
              <w:ind w:left="360"/>
              <w:rPr>
                <w:rFonts w:ascii="Arial" w:eastAsia="Times New Roman" w:hAnsi="Arial" w:cs="Arial"/>
                <w:b w:val="0"/>
                <w:bCs w:val="0"/>
                <w:color w:val="415563" w:themeColor="text1"/>
                <w:u w:val="single"/>
                <w:lang w:eastAsia="en-GB"/>
              </w:rPr>
            </w:pPr>
            <w:r w:rsidRPr="00556314">
              <w:rPr>
                <w:rFonts w:ascii="Arial" w:hAnsi="Arial" w:cs="Arial"/>
                <w:b w:val="0"/>
                <w:bCs w:val="0"/>
              </w:rPr>
              <w:t xml:space="preserve">Prescribe unlicensed PERT imports only where licensed alternatives are unavailable. </w:t>
            </w:r>
          </w:p>
        </w:tc>
      </w:tr>
    </w:tbl>
    <w:p w14:paraId="7750B3D7" w14:textId="77777777" w:rsidR="00E610EA" w:rsidRDefault="00E610EA">
      <w:pPr>
        <w:rPr>
          <w:rFonts w:ascii="Arial Bold" w:eastAsiaTheme="majorEastAsia" w:hAnsi="Arial Bold" w:cs="Times New Roman (Headings CS)"/>
          <w:b/>
          <w:color w:val="0070C0"/>
          <w:kern w:val="32"/>
          <w:sz w:val="32"/>
          <w:szCs w:val="26"/>
        </w:rPr>
      </w:pPr>
    </w:p>
    <w:tbl>
      <w:tblPr>
        <w:tblStyle w:val="GridTable4"/>
        <w:tblW w:w="10485" w:type="dxa"/>
        <w:tblLook w:val="04A0" w:firstRow="1" w:lastRow="0" w:firstColumn="1" w:lastColumn="0" w:noHBand="0" w:noVBand="1"/>
      </w:tblPr>
      <w:tblGrid>
        <w:gridCol w:w="10485"/>
      </w:tblGrid>
      <w:tr w:rsidR="00E610EA" w14:paraId="0153A046" w14:textId="77777777" w:rsidTr="00815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6E1045D3" w14:textId="77777777" w:rsidR="00E610EA" w:rsidRPr="00F02982" w:rsidRDefault="00E610EA" w:rsidP="008151BE">
            <w:pPr>
              <w:pStyle w:val="Heading2"/>
              <w:rPr>
                <w:b/>
                <w:bCs w:val="0"/>
              </w:rPr>
            </w:pPr>
            <w:r w:rsidRPr="0015571E">
              <w:t xml:space="preserve">Actions for prescribers in </w:t>
            </w:r>
            <w:r>
              <w:t>general practice</w:t>
            </w:r>
            <w:r w:rsidRPr="0015571E">
              <w:t xml:space="preserve"> </w:t>
            </w:r>
          </w:p>
        </w:tc>
      </w:tr>
      <w:tr w:rsidR="00E610EA" w14:paraId="4CA0B0CE" w14:textId="77777777" w:rsidTr="008151BE">
        <w:tc>
          <w:tcPr>
            <w:cnfStyle w:val="001000000000" w:firstRow="0" w:lastRow="0" w:firstColumn="1" w:lastColumn="0" w:oddVBand="0" w:evenVBand="0" w:oddHBand="0" w:evenHBand="0" w:firstRowFirstColumn="0" w:firstRowLastColumn="0" w:lastRowFirstColumn="0" w:lastRowLastColumn="0"/>
            <w:tcW w:w="10485" w:type="dxa"/>
          </w:tcPr>
          <w:p w14:paraId="00385136" w14:textId="77777777" w:rsidR="00E610EA" w:rsidRPr="004C6CF5" w:rsidRDefault="00E610EA" w:rsidP="008151BE">
            <w:pPr>
              <w:pStyle w:val="ListParagraph"/>
              <w:numPr>
                <w:ilvl w:val="0"/>
                <w:numId w:val="12"/>
              </w:numPr>
              <w:rPr>
                <w:b w:val="0"/>
                <w:bCs w:val="0"/>
              </w:rPr>
            </w:pPr>
            <w:r w:rsidRPr="0015571E">
              <w:rPr>
                <w:b w:val="0"/>
                <w:bCs w:val="0"/>
              </w:rPr>
              <w:t xml:space="preserve">Ensure prescriptions of PERT are for </w:t>
            </w:r>
            <w:r w:rsidRPr="00670988">
              <w:t>a maximum of one month’s supply</w:t>
            </w:r>
            <w:r w:rsidRPr="0015571E">
              <w:rPr>
                <w:b w:val="0"/>
                <w:bCs w:val="0"/>
              </w:rPr>
              <w:t xml:space="preserve">. </w:t>
            </w:r>
          </w:p>
          <w:p w14:paraId="0B902571" w14:textId="77777777" w:rsidR="00E610EA" w:rsidRPr="00606396" w:rsidRDefault="00E610EA" w:rsidP="008151BE">
            <w:pPr>
              <w:pStyle w:val="ListParagraph"/>
              <w:numPr>
                <w:ilvl w:val="0"/>
                <w:numId w:val="12"/>
              </w:numPr>
              <w:rPr>
                <w:b w:val="0"/>
                <w:bCs w:val="0"/>
              </w:rPr>
            </w:pPr>
            <w:r>
              <w:rPr>
                <w:b w:val="0"/>
                <w:bCs w:val="0"/>
              </w:rPr>
              <w:t>Prescribed licensed PERT first.</w:t>
            </w:r>
          </w:p>
          <w:p w14:paraId="33F90E18" w14:textId="77777777" w:rsidR="00E610EA" w:rsidRPr="005D119A" w:rsidRDefault="00E610EA" w:rsidP="00E610EA">
            <w:pPr>
              <w:pStyle w:val="ListParagraph"/>
              <w:numPr>
                <w:ilvl w:val="1"/>
                <w:numId w:val="12"/>
              </w:numPr>
              <w:rPr>
                <w:b w:val="0"/>
                <w:bCs w:val="0"/>
              </w:rPr>
            </w:pPr>
            <w:r w:rsidRPr="0015571E">
              <w:rPr>
                <w:b w:val="0"/>
                <w:bCs w:val="0"/>
              </w:rPr>
              <w:t xml:space="preserve">Creon® 10000 capsules should be reserved for people unable to take Creon® 25000 capsules e.g. children and people who are unable to swallow larger capsules. </w:t>
            </w:r>
          </w:p>
          <w:p w14:paraId="749E78F8" w14:textId="77777777" w:rsidR="00E610EA" w:rsidRPr="0015571E" w:rsidRDefault="00E610EA" w:rsidP="00E610EA">
            <w:pPr>
              <w:pStyle w:val="ListParagraph"/>
              <w:numPr>
                <w:ilvl w:val="1"/>
                <w:numId w:val="12"/>
              </w:numPr>
              <w:rPr>
                <w:b w:val="0"/>
                <w:bCs w:val="0"/>
              </w:rPr>
            </w:pPr>
            <w:r w:rsidRPr="0015571E">
              <w:rPr>
                <w:b w:val="0"/>
                <w:bCs w:val="0"/>
              </w:rPr>
              <w:t>Creon® Micro Pancreatin 60.12mg capsules are prioritised for children and those with dysphagia who are unable to open the Creon® 25000 capsules.</w:t>
            </w:r>
          </w:p>
          <w:p w14:paraId="7E93C284" w14:textId="77777777" w:rsidR="00E610EA" w:rsidRPr="0015571E" w:rsidRDefault="00E610EA" w:rsidP="00E610EA">
            <w:pPr>
              <w:pStyle w:val="ListParagraph"/>
              <w:numPr>
                <w:ilvl w:val="1"/>
                <w:numId w:val="12"/>
              </w:numPr>
              <w:rPr>
                <w:b w:val="0"/>
                <w:bCs w:val="0"/>
              </w:rPr>
            </w:pPr>
            <w:r w:rsidRPr="0015571E">
              <w:rPr>
                <w:b w:val="0"/>
                <w:bCs w:val="0"/>
              </w:rPr>
              <w:t xml:space="preserve">Nutrizym® 22 should be prioritised for people who are unable to tolerate Creon®. This is not suitable for children under 15 years of age. </w:t>
            </w:r>
          </w:p>
          <w:p w14:paraId="059A4F0C" w14:textId="77777777" w:rsidR="00E610EA" w:rsidRPr="0015571E" w:rsidRDefault="00E610EA" w:rsidP="00E610EA">
            <w:pPr>
              <w:pStyle w:val="ListParagraph"/>
              <w:numPr>
                <w:ilvl w:val="1"/>
                <w:numId w:val="12"/>
              </w:numPr>
              <w:rPr>
                <w:b w:val="0"/>
                <w:bCs w:val="0"/>
              </w:rPr>
            </w:pPr>
            <w:r w:rsidRPr="0015571E">
              <w:rPr>
                <w:b w:val="0"/>
                <w:bCs w:val="0"/>
              </w:rPr>
              <w:t>Pancrex® V powder should be prioritised for patients receiving enteral feeding tubes. This is not an appropriate product for patients to take orally in most cases.</w:t>
            </w:r>
          </w:p>
          <w:p w14:paraId="0BD7340A" w14:textId="1BE3815A" w:rsidR="00E610EA" w:rsidRPr="0015571E" w:rsidRDefault="00E610EA" w:rsidP="008151BE">
            <w:pPr>
              <w:pStyle w:val="ListParagraph"/>
              <w:numPr>
                <w:ilvl w:val="0"/>
                <w:numId w:val="12"/>
              </w:numPr>
              <w:rPr>
                <w:b w:val="0"/>
                <w:bCs w:val="0"/>
              </w:rPr>
            </w:pPr>
            <w:r w:rsidRPr="0015571E">
              <w:rPr>
                <w:b w:val="0"/>
                <w:bCs w:val="0"/>
              </w:rPr>
              <w:t xml:space="preserve">Issue </w:t>
            </w:r>
            <w:r>
              <w:rPr>
                <w:b w:val="0"/>
                <w:bCs w:val="0"/>
              </w:rPr>
              <w:t>licens</w:t>
            </w:r>
            <w:r w:rsidRPr="0027293E">
              <w:rPr>
                <w:b w:val="0"/>
                <w:bCs w:val="0"/>
              </w:rPr>
              <w:t>ed</w:t>
            </w:r>
            <w:r>
              <w:rPr>
                <w:b w:val="0"/>
                <w:bCs w:val="0"/>
              </w:rPr>
              <w:t xml:space="preserve"> PERT </w:t>
            </w:r>
            <w:r w:rsidRPr="0015571E">
              <w:rPr>
                <w:b w:val="0"/>
                <w:bCs w:val="0"/>
              </w:rPr>
              <w:t xml:space="preserve">as a single item on </w:t>
            </w:r>
            <w:r w:rsidR="00CA45D8">
              <w:rPr>
                <w:b w:val="0"/>
                <w:bCs w:val="0"/>
              </w:rPr>
              <w:t>a</w:t>
            </w:r>
            <w:r w:rsidRPr="0015571E">
              <w:rPr>
                <w:b w:val="0"/>
                <w:bCs w:val="0"/>
              </w:rPr>
              <w:t xml:space="preserve"> prescription or provide patients with a prescription token. Issue repeat prescriptions ahead of patients need – patients are being advised to allow </w:t>
            </w:r>
            <w:r>
              <w:rPr>
                <w:b w:val="0"/>
                <w:bCs w:val="0"/>
              </w:rPr>
              <w:t xml:space="preserve">two </w:t>
            </w:r>
            <w:r w:rsidRPr="0015571E">
              <w:rPr>
                <w:b w:val="0"/>
                <w:bCs w:val="0"/>
              </w:rPr>
              <w:t xml:space="preserve">weeks ahead of need to allow time for prescriptions to be filled. </w:t>
            </w:r>
          </w:p>
          <w:p w14:paraId="59F40B58" w14:textId="77777777" w:rsidR="00E610EA" w:rsidRPr="0015571E" w:rsidRDefault="00E610EA" w:rsidP="008151BE">
            <w:pPr>
              <w:pStyle w:val="ListParagraph"/>
              <w:numPr>
                <w:ilvl w:val="0"/>
                <w:numId w:val="12"/>
              </w:numPr>
              <w:rPr>
                <w:b w:val="0"/>
                <w:bCs w:val="0"/>
              </w:rPr>
            </w:pPr>
            <w:r w:rsidRPr="0015571E">
              <w:rPr>
                <w:b w:val="0"/>
                <w:bCs w:val="0"/>
              </w:rPr>
              <w:t>Please make sure that GP practice prescription management teams are aware of this deviation from usual practice. Do not post-date prescriptions, use the pharmacy text box to explain why an early prescription is being submitted.</w:t>
            </w:r>
          </w:p>
          <w:p w14:paraId="02641327" w14:textId="3315CDB0" w:rsidR="00E610EA" w:rsidRPr="005B1B60" w:rsidRDefault="00E610EA" w:rsidP="008151BE">
            <w:pPr>
              <w:pStyle w:val="ListParagraph"/>
              <w:numPr>
                <w:ilvl w:val="0"/>
                <w:numId w:val="12"/>
              </w:numPr>
              <w:rPr>
                <w:rFonts w:ascii="Arial" w:eastAsia="Times New Roman" w:hAnsi="Arial" w:cs="Arial"/>
                <w:b w:val="0"/>
                <w:bCs w:val="0"/>
                <w:color w:val="415563" w:themeColor="text1"/>
                <w:u w:val="single"/>
                <w:lang w:eastAsia="en-GB"/>
              </w:rPr>
            </w:pPr>
            <w:r w:rsidRPr="0015571E">
              <w:rPr>
                <w:rFonts w:ascii="Arial" w:hAnsi="Arial" w:cs="Arial"/>
                <w:b w:val="0"/>
                <w:bCs w:val="0"/>
              </w:rPr>
              <w:t>Prescribe unlicensed PERT imports only where licensed alternatives are unavailable, working with community pharmacy teams to ensure orders are placed within appropriate time frames.</w:t>
            </w:r>
          </w:p>
          <w:p w14:paraId="543F6D06" w14:textId="0BD30F4A" w:rsidR="00E610EA" w:rsidRPr="003B178B" w:rsidRDefault="00E854A2" w:rsidP="003B178B">
            <w:pPr>
              <w:pStyle w:val="ListParagraph"/>
              <w:numPr>
                <w:ilvl w:val="0"/>
                <w:numId w:val="12"/>
              </w:numPr>
              <w:rPr>
                <w:rFonts w:ascii="Arial" w:eastAsia="Times New Roman" w:hAnsi="Arial" w:cs="Arial"/>
                <w:b w:val="0"/>
                <w:bCs w:val="0"/>
                <w:lang w:eastAsia="en-GB"/>
              </w:rPr>
            </w:pPr>
            <w:r>
              <w:rPr>
                <w:rFonts w:ascii="Arial" w:hAnsi="Arial" w:cs="Arial"/>
                <w:b w:val="0"/>
                <w:bCs w:val="0"/>
                <w:szCs w:val="22"/>
              </w:rPr>
              <w:t>P</w:t>
            </w:r>
            <w:r w:rsidR="00E610EA" w:rsidRPr="005B1B60">
              <w:rPr>
                <w:rFonts w:ascii="Arial" w:hAnsi="Arial" w:cs="Arial"/>
                <w:b w:val="0"/>
                <w:bCs w:val="0"/>
                <w:szCs w:val="22"/>
              </w:rPr>
              <w:t xml:space="preserve">rescriptions for </w:t>
            </w:r>
            <w:hyperlink r:id="rId15" w:history="1">
              <w:r w:rsidR="00E610EA" w:rsidRPr="00F0102F">
                <w:rPr>
                  <w:rFonts w:ascii="Arial" w:eastAsia="Calibri" w:hAnsi="Arial" w:cs="Arial"/>
                  <w:b w:val="0"/>
                  <w:bCs w:val="0"/>
                  <w:color w:val="005EB8"/>
                  <w:szCs w:val="22"/>
                  <w:u w:val="single"/>
                </w:rPr>
                <w:t>supply of unlicensed PERT preparation</w:t>
              </w:r>
              <w:r w:rsidR="00D40CDD">
                <w:rPr>
                  <w:rFonts w:ascii="Arial" w:eastAsia="Calibri" w:hAnsi="Arial" w:cs="Arial"/>
                  <w:b w:val="0"/>
                  <w:bCs w:val="0"/>
                  <w:color w:val="005EB8"/>
                  <w:szCs w:val="22"/>
                  <w:u w:val="single"/>
                </w:rPr>
                <w:t>s</w:t>
              </w:r>
              <w:r w:rsidR="00E610EA" w:rsidRPr="00F0102F">
                <w:rPr>
                  <w:rFonts w:ascii="Arial" w:eastAsia="Calibri" w:hAnsi="Arial" w:cs="Arial"/>
                  <w:b w:val="0"/>
                  <w:bCs w:val="0"/>
                  <w:color w:val="0070C0"/>
                  <w:szCs w:val="22"/>
                  <w:u w:val="single"/>
                </w:rPr>
                <w:t xml:space="preserve"> </w:t>
              </w:r>
            </w:hyperlink>
            <w:r w:rsidR="00E610EA" w:rsidRPr="005B1B60">
              <w:rPr>
                <w:rFonts w:ascii="Arial" w:eastAsia="Calibri" w:hAnsi="Arial" w:cs="Arial"/>
                <w:b w:val="0"/>
                <w:bCs w:val="0"/>
                <w:szCs w:val="22"/>
              </w:rPr>
              <w:t>must be written accurately</w:t>
            </w:r>
            <w:r w:rsidR="003B178B">
              <w:rPr>
                <w:rFonts w:ascii="Arial" w:eastAsia="Calibri" w:hAnsi="Arial" w:cs="Arial"/>
                <w:b w:val="0"/>
                <w:bCs w:val="0"/>
                <w:szCs w:val="22"/>
              </w:rPr>
              <w:t>.</w:t>
            </w:r>
            <w:r w:rsidR="003B178B" w:rsidRPr="00D84D66">
              <w:rPr>
                <w:rFonts w:ascii="Arial" w:eastAsia="Times New Roman" w:hAnsi="Arial" w:cs="Arial"/>
                <w:lang w:eastAsia="en-GB"/>
              </w:rPr>
              <w:t xml:space="preserve"> </w:t>
            </w:r>
            <w:r w:rsidR="003B178B" w:rsidRPr="003B178B">
              <w:rPr>
                <w:rFonts w:ascii="Arial" w:eastAsia="Times New Roman" w:hAnsi="Arial" w:cs="Arial"/>
                <w:b w:val="0"/>
                <w:bCs w:val="0"/>
                <w:lang w:eastAsia="en-GB"/>
              </w:rPr>
              <w:t xml:space="preserve">Please note community pharmacies cannot issue unlicensed PERT against a prescription for licensed </w:t>
            </w:r>
            <w:r w:rsidR="003B178B">
              <w:rPr>
                <w:rFonts w:ascii="Arial" w:eastAsia="Times New Roman" w:hAnsi="Arial" w:cs="Arial"/>
                <w:b w:val="0"/>
                <w:bCs w:val="0"/>
                <w:lang w:eastAsia="en-GB"/>
              </w:rPr>
              <w:t>PERT</w:t>
            </w:r>
            <w:r w:rsidR="003B178B" w:rsidRPr="003B178B">
              <w:rPr>
                <w:rFonts w:ascii="Arial" w:eastAsia="Times New Roman" w:hAnsi="Arial" w:cs="Arial"/>
                <w:b w:val="0"/>
                <w:bCs w:val="0"/>
                <w:lang w:eastAsia="en-GB"/>
              </w:rPr>
              <w:t xml:space="preserve">. </w:t>
            </w:r>
          </w:p>
          <w:p w14:paraId="20465F51" w14:textId="77777777" w:rsidR="00E610EA" w:rsidRPr="0015571E" w:rsidRDefault="00E610EA" w:rsidP="008151BE">
            <w:pPr>
              <w:pStyle w:val="ListParagraph"/>
              <w:numPr>
                <w:ilvl w:val="0"/>
                <w:numId w:val="12"/>
              </w:numPr>
              <w:rPr>
                <w:rFonts w:ascii="Arial" w:eastAsia="Times New Roman" w:hAnsi="Arial" w:cs="Arial"/>
                <w:b w:val="0"/>
                <w:bCs w:val="0"/>
                <w:lang w:eastAsia="en-GB"/>
              </w:rPr>
            </w:pPr>
            <w:r>
              <w:rPr>
                <w:rFonts w:ascii="Arial" w:eastAsia="Times New Roman" w:hAnsi="Arial" w:cs="Arial"/>
                <w:b w:val="0"/>
                <w:bCs w:val="0"/>
                <w:lang w:eastAsia="en-GB"/>
              </w:rPr>
              <w:t xml:space="preserve">Please note </w:t>
            </w:r>
            <w:r w:rsidRPr="0015571E">
              <w:rPr>
                <w:rFonts w:ascii="Arial" w:eastAsia="Times New Roman" w:hAnsi="Arial" w:cs="Arial"/>
                <w:b w:val="0"/>
                <w:bCs w:val="0"/>
                <w:lang w:eastAsia="en-GB"/>
              </w:rPr>
              <w:t xml:space="preserve">Pangrol® should be issued on a </w:t>
            </w:r>
            <w:r w:rsidRPr="0010288E">
              <w:rPr>
                <w:rFonts w:ascii="Arial" w:eastAsia="Times New Roman" w:hAnsi="Arial" w:cs="Arial"/>
                <w:lang w:eastAsia="en-GB"/>
              </w:rPr>
              <w:t>handwritten</w:t>
            </w:r>
            <w:r>
              <w:rPr>
                <w:rFonts w:ascii="Arial" w:eastAsia="Times New Roman" w:hAnsi="Arial" w:cs="Arial"/>
                <w:b w:val="0"/>
                <w:bCs w:val="0"/>
                <w:lang w:eastAsia="en-GB"/>
              </w:rPr>
              <w:t xml:space="preserve"> </w:t>
            </w:r>
            <w:r>
              <w:rPr>
                <w:rFonts w:ascii="Arial" w:eastAsia="Times New Roman" w:hAnsi="Arial" w:cs="Arial"/>
                <w:lang w:eastAsia="en-GB"/>
              </w:rPr>
              <w:t xml:space="preserve">FP10 </w:t>
            </w:r>
            <w:r w:rsidRPr="00526F92">
              <w:rPr>
                <w:rFonts w:ascii="Arial" w:eastAsia="Times New Roman" w:hAnsi="Arial" w:cs="Arial"/>
                <w:lang w:eastAsia="en-GB"/>
              </w:rPr>
              <w:t>paper prescription</w:t>
            </w:r>
            <w:r w:rsidRPr="0015571E">
              <w:rPr>
                <w:rFonts w:ascii="Arial" w:eastAsia="Times New Roman" w:hAnsi="Arial" w:cs="Arial"/>
                <w:b w:val="0"/>
                <w:bCs w:val="0"/>
                <w:lang w:eastAsia="en-GB"/>
              </w:rPr>
              <w:t xml:space="preserve"> and should detail:</w:t>
            </w:r>
          </w:p>
          <w:p w14:paraId="46C372A1" w14:textId="77777777" w:rsidR="00E610EA" w:rsidRPr="0015571E" w:rsidRDefault="00E610EA" w:rsidP="00E610EA">
            <w:pPr>
              <w:pStyle w:val="ListParagraph"/>
              <w:numPr>
                <w:ilvl w:val="1"/>
                <w:numId w:val="12"/>
              </w:numPr>
              <w:rPr>
                <w:rFonts w:ascii="Arial" w:eastAsia="Times New Roman" w:hAnsi="Arial" w:cs="Arial"/>
                <w:b w:val="0"/>
                <w:bCs w:val="0"/>
                <w:lang w:eastAsia="en-GB"/>
              </w:rPr>
            </w:pPr>
            <w:r w:rsidRPr="00EB4A22">
              <w:rPr>
                <w:rFonts w:ascii="Arial" w:eastAsia="Times New Roman" w:hAnsi="Arial" w:cs="Arial"/>
                <w:lang w:eastAsia="en-GB"/>
              </w:rPr>
              <w:t>Name of medication including strength and formulation</w:t>
            </w:r>
            <w:r w:rsidRPr="0015571E">
              <w:rPr>
                <w:rFonts w:ascii="Arial" w:eastAsia="Times New Roman" w:hAnsi="Arial" w:cs="Arial"/>
                <w:b w:val="0"/>
                <w:bCs w:val="0"/>
                <w:lang w:eastAsia="en-GB"/>
              </w:rPr>
              <w:t xml:space="preserve"> (Imported)</w:t>
            </w:r>
          </w:p>
          <w:p w14:paraId="531159E9" w14:textId="77777777" w:rsidR="00E610EA" w:rsidRPr="0015571E" w:rsidRDefault="00E610EA" w:rsidP="008151BE">
            <w:pPr>
              <w:pStyle w:val="ListParagraph"/>
              <w:numPr>
                <w:ilvl w:val="2"/>
                <w:numId w:val="12"/>
              </w:numPr>
              <w:rPr>
                <w:rFonts w:ascii="Arial" w:eastAsia="Times New Roman" w:hAnsi="Arial" w:cs="Arial"/>
                <w:b w:val="0"/>
                <w:bCs w:val="0"/>
                <w:lang w:eastAsia="en-GB"/>
              </w:rPr>
            </w:pPr>
            <w:r w:rsidRPr="0015571E">
              <w:rPr>
                <w:rFonts w:ascii="Arial" w:eastAsia="Times New Roman" w:hAnsi="Arial" w:cs="Arial"/>
                <w:b w:val="0"/>
                <w:bCs w:val="0"/>
                <w:lang w:eastAsia="en-GB"/>
              </w:rPr>
              <w:t xml:space="preserve"> Pangrol 10,000/25,000* gastro resistant capsules (Imported) * (delete as appropriate)</w:t>
            </w:r>
          </w:p>
          <w:p w14:paraId="5BB32E2A" w14:textId="77777777" w:rsidR="00E610EA" w:rsidRPr="00F058E5" w:rsidRDefault="00E610EA" w:rsidP="00E610EA">
            <w:pPr>
              <w:pStyle w:val="ListParagraph"/>
              <w:numPr>
                <w:ilvl w:val="1"/>
                <w:numId w:val="12"/>
              </w:numPr>
              <w:rPr>
                <w:rFonts w:ascii="Arial" w:eastAsia="Times New Roman" w:hAnsi="Arial" w:cs="Arial"/>
                <w:lang w:eastAsia="en-GB"/>
              </w:rPr>
            </w:pPr>
            <w:r w:rsidRPr="00F058E5">
              <w:rPr>
                <w:rFonts w:ascii="Arial" w:eastAsia="Times New Roman" w:hAnsi="Arial" w:cs="Arial"/>
                <w:lang w:eastAsia="en-GB"/>
              </w:rPr>
              <w:t>Special Order</w:t>
            </w:r>
          </w:p>
          <w:p w14:paraId="03FED807" w14:textId="77777777" w:rsidR="00E610EA" w:rsidRPr="0015571E" w:rsidRDefault="00E610EA" w:rsidP="00E610EA">
            <w:pPr>
              <w:pStyle w:val="ListParagraph"/>
              <w:numPr>
                <w:ilvl w:val="1"/>
                <w:numId w:val="12"/>
              </w:numPr>
              <w:rPr>
                <w:rFonts w:ascii="Arial" w:eastAsia="Times New Roman" w:hAnsi="Arial" w:cs="Arial"/>
                <w:b w:val="0"/>
                <w:bCs w:val="0"/>
                <w:lang w:eastAsia="en-GB"/>
              </w:rPr>
            </w:pPr>
            <w:r w:rsidRPr="00EB4A22">
              <w:rPr>
                <w:rFonts w:ascii="Arial" w:eastAsia="Times New Roman" w:hAnsi="Arial" w:cs="Arial"/>
                <w:lang w:eastAsia="en-GB"/>
              </w:rPr>
              <w:t>Dosage</w:t>
            </w:r>
            <w:r w:rsidRPr="0015571E">
              <w:rPr>
                <w:rFonts w:ascii="Arial" w:eastAsia="Times New Roman" w:hAnsi="Arial" w:cs="Arial"/>
                <w:b w:val="0"/>
                <w:bCs w:val="0"/>
                <w:lang w:eastAsia="en-GB"/>
              </w:rPr>
              <w:t xml:space="preserve"> instructions for patient</w:t>
            </w:r>
          </w:p>
          <w:p w14:paraId="62B2450E" w14:textId="77777777" w:rsidR="00E610EA" w:rsidRPr="00D84D66" w:rsidRDefault="00E610EA" w:rsidP="00E610EA">
            <w:pPr>
              <w:pStyle w:val="ListParagraph"/>
              <w:numPr>
                <w:ilvl w:val="1"/>
                <w:numId w:val="12"/>
              </w:numPr>
              <w:rPr>
                <w:rFonts w:ascii="Arial" w:eastAsia="Times New Roman" w:hAnsi="Arial" w:cs="Arial"/>
                <w:b w:val="0"/>
                <w:bCs w:val="0"/>
                <w:lang w:eastAsia="en-GB"/>
              </w:rPr>
            </w:pPr>
            <w:r w:rsidRPr="00EB4A22">
              <w:rPr>
                <w:rFonts w:ascii="Arial" w:eastAsia="Times New Roman" w:hAnsi="Arial" w:cs="Arial"/>
                <w:lang w:eastAsia="en-GB"/>
              </w:rPr>
              <w:t>Quantity</w:t>
            </w:r>
            <w:r w:rsidRPr="0015571E">
              <w:rPr>
                <w:rFonts w:ascii="Arial" w:eastAsia="Times New Roman" w:hAnsi="Arial" w:cs="Arial"/>
                <w:b w:val="0"/>
                <w:bCs w:val="0"/>
                <w:lang w:eastAsia="en-GB"/>
              </w:rPr>
              <w:t xml:space="preserve"> (note Pangrol® pack size is 200 capsules)</w:t>
            </w:r>
          </w:p>
          <w:p w14:paraId="3FB532C6" w14:textId="77777777" w:rsidR="00E610EA" w:rsidRPr="0015571E" w:rsidRDefault="00E610EA" w:rsidP="008151BE">
            <w:pPr>
              <w:pStyle w:val="ListParagraph"/>
              <w:numPr>
                <w:ilvl w:val="0"/>
                <w:numId w:val="12"/>
              </w:numPr>
              <w:rPr>
                <w:rFonts w:ascii="Arial" w:eastAsia="Times New Roman" w:hAnsi="Arial" w:cs="Arial"/>
                <w:b w:val="0"/>
                <w:bCs w:val="0"/>
                <w:lang w:eastAsia="en-GB"/>
              </w:rPr>
            </w:pPr>
            <w:r w:rsidRPr="0015571E">
              <w:rPr>
                <w:rFonts w:ascii="Arial" w:eastAsia="Times New Roman" w:hAnsi="Arial" w:cs="Arial"/>
                <w:b w:val="0"/>
                <w:bCs w:val="0"/>
                <w:lang w:eastAsia="en-GB"/>
              </w:rPr>
              <w:t xml:space="preserve">Patients should be informed of the rationale for the use of an unlicensed imported product and adequate justification provided. This should also be documented in the patient’s medical record as per </w:t>
            </w:r>
            <w:hyperlink r:id="rId16" w:history="1">
              <w:r w:rsidRPr="0015571E">
                <w:rPr>
                  <w:rStyle w:val="Hyperlink"/>
                  <w:rFonts w:ascii="Arial" w:eastAsia="Times New Roman" w:hAnsi="Arial" w:cs="Arial"/>
                  <w:b w:val="0"/>
                  <w:bCs w:val="0"/>
                  <w:lang w:eastAsia="en-GB"/>
                </w:rPr>
                <w:t>GMC requirements</w:t>
              </w:r>
            </w:hyperlink>
            <w:r w:rsidRPr="0015571E">
              <w:rPr>
                <w:rFonts w:ascii="Arial" w:eastAsia="Times New Roman" w:hAnsi="Arial" w:cs="Arial"/>
                <w:b w:val="0"/>
                <w:bCs w:val="0"/>
                <w:lang w:eastAsia="en-GB"/>
              </w:rPr>
              <w:t>.</w:t>
            </w:r>
          </w:p>
          <w:p w14:paraId="2569BF0E" w14:textId="77777777" w:rsidR="00E610EA" w:rsidRPr="0015571E" w:rsidRDefault="00E610EA" w:rsidP="008151BE">
            <w:pPr>
              <w:pStyle w:val="ListParagraph"/>
              <w:numPr>
                <w:ilvl w:val="0"/>
                <w:numId w:val="12"/>
              </w:numPr>
              <w:rPr>
                <w:rFonts w:ascii="Arial" w:eastAsia="Times New Roman" w:hAnsi="Arial" w:cs="Arial"/>
                <w:b w:val="0"/>
                <w:bCs w:val="0"/>
                <w:lang w:eastAsia="en-GB"/>
              </w:rPr>
            </w:pPr>
            <w:r w:rsidRPr="0015571E">
              <w:rPr>
                <w:rFonts w:ascii="Arial" w:eastAsia="Times New Roman" w:hAnsi="Arial" w:cs="Arial"/>
                <w:b w:val="0"/>
                <w:bCs w:val="0"/>
                <w:lang w:eastAsia="en-GB"/>
              </w:rPr>
              <w:t>Paediatric, neonatal and cystic fibrosis patients should continue to liaise with their specialist teams for advice about disease management in pancreatic insufficiency and PERT regimens</w:t>
            </w:r>
          </w:p>
          <w:p w14:paraId="64D34FDB" w14:textId="77777777" w:rsidR="00E610EA" w:rsidRPr="0015571E" w:rsidRDefault="00E610EA" w:rsidP="00E610EA">
            <w:pPr>
              <w:pStyle w:val="ListParagraph"/>
              <w:numPr>
                <w:ilvl w:val="1"/>
                <w:numId w:val="12"/>
              </w:numPr>
              <w:rPr>
                <w:rFonts w:ascii="Arial" w:eastAsia="Times New Roman" w:hAnsi="Arial" w:cs="Arial"/>
                <w:b w:val="0"/>
                <w:bCs w:val="0"/>
                <w:lang w:eastAsia="en-GB"/>
              </w:rPr>
            </w:pPr>
            <w:r w:rsidRPr="0015571E">
              <w:rPr>
                <w:rFonts w:ascii="Arial" w:eastAsia="Times New Roman" w:hAnsi="Arial" w:cs="Arial"/>
                <w:b w:val="0"/>
                <w:bCs w:val="0"/>
                <w:lang w:eastAsia="en-GB"/>
              </w:rPr>
              <w:t xml:space="preserve">Please consult the </w:t>
            </w:r>
            <w:hyperlink r:id="rId17" w:history="1">
              <w:r w:rsidRPr="00F0102F">
                <w:rPr>
                  <w:rStyle w:val="Hyperlink"/>
                  <w:rFonts w:ascii="Arial" w:eastAsia="Times New Roman" w:hAnsi="Arial" w:cs="Arial"/>
                  <w:b w:val="0"/>
                  <w:bCs w:val="0"/>
                  <w:color w:val="005EB8"/>
                  <w:lang w:eastAsia="en-GB"/>
                </w:rPr>
                <w:t>national</w:t>
              </w:r>
              <w:r w:rsidRPr="0015571E">
                <w:rPr>
                  <w:rStyle w:val="Hyperlink"/>
                  <w:rFonts w:ascii="Arial" w:eastAsia="Times New Roman" w:hAnsi="Arial" w:cs="Arial"/>
                  <w:b w:val="0"/>
                  <w:bCs w:val="0"/>
                  <w:lang w:eastAsia="en-GB"/>
                </w:rPr>
                <w:t xml:space="preserve"> position</w:t>
              </w:r>
            </w:hyperlink>
            <w:r w:rsidRPr="0015571E">
              <w:rPr>
                <w:rFonts w:ascii="Arial" w:eastAsia="Times New Roman" w:hAnsi="Arial" w:cs="Arial"/>
                <w:b w:val="0"/>
                <w:bCs w:val="0"/>
                <w:lang w:eastAsia="en-GB"/>
              </w:rPr>
              <w:t xml:space="preserve"> statement for further clinical information on managing PERT shortages in </w:t>
            </w:r>
            <w:r w:rsidRPr="0015571E">
              <w:rPr>
                <w:b w:val="0"/>
                <w:bCs w:val="0"/>
              </w:rPr>
              <w:t>adults living with cystic fibrosis and other conditions.</w:t>
            </w:r>
          </w:p>
          <w:p w14:paraId="19AB613F" w14:textId="3AFE5363" w:rsidR="00E610EA" w:rsidRPr="0015571E" w:rsidRDefault="00E610EA" w:rsidP="00E610EA">
            <w:pPr>
              <w:pStyle w:val="ListParagraph"/>
              <w:numPr>
                <w:ilvl w:val="1"/>
                <w:numId w:val="12"/>
              </w:numPr>
              <w:rPr>
                <w:rFonts w:ascii="Arial" w:eastAsia="Times New Roman" w:hAnsi="Arial" w:cs="Arial"/>
                <w:b w:val="0"/>
                <w:bCs w:val="0"/>
                <w:lang w:eastAsia="en-GB"/>
              </w:rPr>
            </w:pPr>
            <w:r w:rsidRPr="0015571E">
              <w:rPr>
                <w:b w:val="0"/>
                <w:bCs w:val="0"/>
              </w:rPr>
              <w:t xml:space="preserve">Please consult the </w:t>
            </w:r>
            <w:hyperlink r:id="rId18" w:history="1">
              <w:r w:rsidRPr="0015571E">
                <w:rPr>
                  <w:rStyle w:val="Hyperlink"/>
                  <w:b w:val="0"/>
                  <w:bCs w:val="0"/>
                </w:rPr>
                <w:t>position statement</w:t>
              </w:r>
            </w:hyperlink>
            <w:r w:rsidRPr="0015571E">
              <w:rPr>
                <w:b w:val="0"/>
                <w:bCs w:val="0"/>
              </w:rPr>
              <w:t xml:space="preserve"> from the neonatal and paediatric pharmacy group for further clinical considerations for managing PERT shortages in children</w:t>
            </w:r>
            <w:r w:rsidR="00D40CDD">
              <w:rPr>
                <w:b w:val="0"/>
                <w:bCs w:val="0"/>
              </w:rPr>
              <w:t>.</w:t>
            </w:r>
          </w:p>
          <w:p w14:paraId="5EBE7BD0" w14:textId="77777777" w:rsidR="00E610EA" w:rsidRPr="00126000" w:rsidRDefault="00E610EA" w:rsidP="008151BE">
            <w:pPr>
              <w:pStyle w:val="ListParagraph"/>
              <w:numPr>
                <w:ilvl w:val="0"/>
                <w:numId w:val="12"/>
              </w:numPr>
              <w:rPr>
                <w:b w:val="0"/>
                <w:bCs w:val="0"/>
              </w:rPr>
            </w:pPr>
            <w:r w:rsidRPr="0015571E">
              <w:rPr>
                <w:rFonts w:ascii="Arial" w:eastAsia="Times New Roman" w:hAnsi="Arial" w:cs="Arial"/>
                <w:b w:val="0"/>
                <w:bCs w:val="0"/>
                <w:lang w:eastAsia="en-GB"/>
              </w:rPr>
              <w:t>Immediately refer patients to a specialist for advice on alternative treatments if above options are not suitable.</w:t>
            </w:r>
          </w:p>
        </w:tc>
      </w:tr>
    </w:tbl>
    <w:p w14:paraId="76E8F68C" w14:textId="77777777" w:rsidR="006C2929" w:rsidRDefault="006C2929" w:rsidP="00CD70DD">
      <w:pPr>
        <w:spacing w:after="75"/>
      </w:pPr>
    </w:p>
    <w:tbl>
      <w:tblPr>
        <w:tblStyle w:val="GridTable4"/>
        <w:tblW w:w="10485" w:type="dxa"/>
        <w:tblLook w:val="04A0" w:firstRow="1" w:lastRow="0" w:firstColumn="1" w:lastColumn="0" w:noHBand="0" w:noVBand="1"/>
      </w:tblPr>
      <w:tblGrid>
        <w:gridCol w:w="10485"/>
      </w:tblGrid>
      <w:tr w:rsidR="006C2929" w14:paraId="4489CEC7" w14:textId="77777777" w:rsidTr="00815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3FF2112D" w14:textId="77777777" w:rsidR="006C2929" w:rsidRDefault="006C2929" w:rsidP="008151BE">
            <w:pPr>
              <w:pStyle w:val="Heading2"/>
              <w:rPr>
                <w:color w:val="0070C0"/>
              </w:rPr>
            </w:pPr>
            <w:r w:rsidRPr="0015571E">
              <w:t xml:space="preserve">Actions for community pharmacies </w:t>
            </w:r>
          </w:p>
        </w:tc>
      </w:tr>
      <w:tr w:rsidR="006C2929" w14:paraId="103C921C" w14:textId="77777777" w:rsidTr="008151BE">
        <w:tc>
          <w:tcPr>
            <w:cnfStyle w:val="001000000000" w:firstRow="0" w:lastRow="0" w:firstColumn="1" w:lastColumn="0" w:oddVBand="0" w:evenVBand="0" w:oddHBand="0" w:evenHBand="0" w:firstRowFirstColumn="0" w:firstRowLastColumn="0" w:lastRowFirstColumn="0" w:lastRowLastColumn="0"/>
            <w:tcW w:w="10485" w:type="dxa"/>
          </w:tcPr>
          <w:p w14:paraId="75CE838D" w14:textId="77777777" w:rsidR="006C2929" w:rsidRPr="00CA26F7" w:rsidRDefault="006C2929" w:rsidP="002773A4">
            <w:pPr>
              <w:pStyle w:val="ListParagraph"/>
              <w:numPr>
                <w:ilvl w:val="0"/>
                <w:numId w:val="8"/>
              </w:numPr>
              <w:ind w:left="360"/>
              <w:jc w:val="both"/>
              <w:rPr>
                <w:rFonts w:ascii="Arial" w:hAnsi="Arial" w:cs="Arial"/>
                <w:b w:val="0"/>
                <w:bCs w:val="0"/>
                <w:szCs w:val="22"/>
              </w:rPr>
            </w:pPr>
            <w:r w:rsidRPr="00CA26F7">
              <w:rPr>
                <w:rFonts w:ascii="Arial" w:hAnsi="Arial" w:cs="Arial"/>
                <w:b w:val="0"/>
                <w:bCs w:val="0"/>
                <w:szCs w:val="22"/>
              </w:rPr>
              <w:t>Please reassure patients that supplies of PERT are continuing to reach the UK and a</w:t>
            </w:r>
            <w:r w:rsidRPr="00CA26F7">
              <w:rPr>
                <w:rFonts w:ascii="Arial" w:hAnsi="Arial" w:cs="Arial"/>
                <w:b w:val="0"/>
                <w:bCs w:val="0"/>
                <w:iCs/>
                <w:szCs w:val="22"/>
              </w:rPr>
              <w:t xml:space="preserve">void the accumulation of excess supplies. </w:t>
            </w:r>
          </w:p>
          <w:p w14:paraId="0E99C192" w14:textId="49D1DE12" w:rsidR="006C2929" w:rsidRPr="00CA26F7" w:rsidRDefault="006C2929" w:rsidP="002773A4">
            <w:pPr>
              <w:pStyle w:val="ListParagraph"/>
              <w:numPr>
                <w:ilvl w:val="0"/>
                <w:numId w:val="8"/>
              </w:numPr>
              <w:ind w:left="360"/>
              <w:rPr>
                <w:rFonts w:ascii="Arial" w:hAnsi="Arial" w:cs="Arial"/>
                <w:b w:val="0"/>
                <w:bCs w:val="0"/>
                <w:iCs/>
                <w:szCs w:val="22"/>
              </w:rPr>
            </w:pPr>
            <w:r w:rsidRPr="00CA26F7">
              <w:rPr>
                <w:rFonts w:ascii="Arial" w:hAnsi="Arial" w:cs="Arial"/>
                <w:b w:val="0"/>
                <w:bCs w:val="0"/>
                <w:iCs/>
                <w:szCs w:val="22"/>
              </w:rPr>
              <w:t>Pharmacies presented with repeat prescription</w:t>
            </w:r>
            <w:r w:rsidR="00D40CDD">
              <w:rPr>
                <w:rFonts w:ascii="Arial" w:hAnsi="Arial" w:cs="Arial"/>
                <w:b w:val="0"/>
                <w:bCs w:val="0"/>
                <w:iCs/>
                <w:szCs w:val="22"/>
              </w:rPr>
              <w:t>s</w:t>
            </w:r>
            <w:r w:rsidRPr="00CA26F7">
              <w:rPr>
                <w:rFonts w:ascii="Arial" w:hAnsi="Arial" w:cs="Arial"/>
                <w:b w:val="0"/>
                <w:bCs w:val="0"/>
                <w:iCs/>
                <w:szCs w:val="22"/>
              </w:rPr>
              <w:t xml:space="preserve"> should only supply the equivalent to </w:t>
            </w:r>
            <w:r w:rsidRPr="00CA26F7">
              <w:rPr>
                <w:rFonts w:ascii="Arial" w:hAnsi="Arial" w:cs="Arial"/>
                <w:iCs/>
                <w:szCs w:val="22"/>
              </w:rPr>
              <w:t>one month’s supply</w:t>
            </w:r>
            <w:r w:rsidRPr="00CA26F7">
              <w:rPr>
                <w:rFonts w:ascii="Arial" w:hAnsi="Arial" w:cs="Arial"/>
                <w:b w:val="0"/>
                <w:bCs w:val="0"/>
                <w:iCs/>
                <w:szCs w:val="22"/>
              </w:rPr>
              <w:t xml:space="preserve"> in accordance with</w:t>
            </w:r>
            <w:r w:rsidR="00AE4714">
              <w:rPr>
                <w:rFonts w:ascii="Arial" w:hAnsi="Arial" w:cs="Arial"/>
                <w:b w:val="0"/>
                <w:bCs w:val="0"/>
                <w:iCs/>
                <w:szCs w:val="22"/>
              </w:rPr>
              <w:t xml:space="preserve"> the Serious Shortage Protocols</w:t>
            </w:r>
            <w:r w:rsidRPr="00CA26F7">
              <w:rPr>
                <w:rFonts w:ascii="Arial" w:hAnsi="Arial" w:cs="Arial"/>
                <w:b w:val="0"/>
                <w:bCs w:val="0"/>
                <w:iCs/>
                <w:szCs w:val="22"/>
              </w:rPr>
              <w:t xml:space="preserve"> </w:t>
            </w:r>
            <w:hyperlink r:id="rId19" w:history="1">
              <w:r w:rsidRPr="00CA26F7">
                <w:rPr>
                  <w:rStyle w:val="Hyperlink"/>
                  <w:rFonts w:ascii="Arial" w:hAnsi="Arial" w:cs="Arial"/>
                  <w:b w:val="0"/>
                  <w:bCs w:val="0"/>
                  <w:iCs/>
                  <w:szCs w:val="22"/>
                </w:rPr>
                <w:t>SSP060 and SSP061</w:t>
              </w:r>
            </w:hyperlink>
            <w:r w:rsidR="007A4121">
              <w:rPr>
                <w:b w:val="0"/>
                <w:szCs w:val="22"/>
              </w:rPr>
              <w:t xml:space="preserve">and endorse accordingly. </w:t>
            </w:r>
          </w:p>
          <w:p w14:paraId="3BA3AF91" w14:textId="76B519F3" w:rsidR="006C2929" w:rsidRPr="00CA26F7" w:rsidRDefault="006C2929" w:rsidP="002773A4">
            <w:pPr>
              <w:pStyle w:val="ListParagraph"/>
              <w:numPr>
                <w:ilvl w:val="0"/>
                <w:numId w:val="8"/>
              </w:numPr>
              <w:ind w:left="360"/>
              <w:rPr>
                <w:rFonts w:ascii="Arial" w:hAnsi="Arial" w:cs="Arial"/>
                <w:b w:val="0"/>
                <w:bCs w:val="0"/>
                <w:iCs/>
                <w:szCs w:val="22"/>
              </w:rPr>
            </w:pPr>
            <w:r w:rsidRPr="00CA26F7">
              <w:rPr>
                <w:rFonts w:ascii="Arial" w:hAnsi="Arial" w:cs="Arial"/>
                <w:b w:val="0"/>
                <w:bCs w:val="0"/>
                <w:iCs/>
                <w:szCs w:val="22"/>
              </w:rPr>
              <w:t xml:space="preserve">Pharmacies are reminded to continue to adhere to the requirements </w:t>
            </w:r>
            <w:r w:rsidR="002E50F3">
              <w:rPr>
                <w:rFonts w:ascii="Arial" w:hAnsi="Arial" w:cs="Arial"/>
                <w:b w:val="0"/>
                <w:bCs w:val="0"/>
                <w:iCs/>
                <w:szCs w:val="22"/>
              </w:rPr>
              <w:t>outlined</w:t>
            </w:r>
            <w:r w:rsidRPr="00CA26F7">
              <w:rPr>
                <w:rFonts w:ascii="Arial" w:hAnsi="Arial" w:cs="Arial"/>
                <w:b w:val="0"/>
                <w:bCs w:val="0"/>
                <w:iCs/>
                <w:szCs w:val="22"/>
              </w:rPr>
              <w:t xml:space="preserve"> in the </w:t>
            </w:r>
            <w:hyperlink r:id="rId20" w:history="1">
              <w:proofErr w:type="spellStart"/>
              <w:r w:rsidRPr="00CA26F7">
                <w:rPr>
                  <w:rStyle w:val="Hyperlink"/>
                  <w:rFonts w:ascii="Arial" w:hAnsi="Arial" w:cs="Arial"/>
                  <w:b w:val="0"/>
                  <w:bCs w:val="0"/>
                  <w:iCs/>
                  <w:szCs w:val="22"/>
                </w:rPr>
                <w:t>NatPSA</w:t>
              </w:r>
              <w:proofErr w:type="spellEnd"/>
            </w:hyperlink>
            <w:r w:rsidRPr="00CA26F7">
              <w:rPr>
                <w:rFonts w:ascii="Arial" w:hAnsi="Arial" w:cs="Arial"/>
                <w:b w:val="0"/>
                <w:bCs w:val="0"/>
                <w:iCs/>
                <w:szCs w:val="22"/>
              </w:rPr>
              <w:t>.</w:t>
            </w:r>
          </w:p>
          <w:p w14:paraId="119329FE" w14:textId="77777777" w:rsidR="006C2929" w:rsidRPr="00CA26F7" w:rsidRDefault="006C2929" w:rsidP="002773A4">
            <w:pPr>
              <w:pStyle w:val="ListParagraph"/>
              <w:numPr>
                <w:ilvl w:val="0"/>
                <w:numId w:val="8"/>
              </w:numPr>
              <w:ind w:left="360"/>
              <w:rPr>
                <w:rFonts w:ascii="Arial" w:hAnsi="Arial" w:cs="Arial"/>
                <w:b w:val="0"/>
                <w:bCs w:val="0"/>
                <w:iCs/>
                <w:szCs w:val="22"/>
              </w:rPr>
            </w:pPr>
            <w:r w:rsidRPr="00CA26F7">
              <w:rPr>
                <w:rFonts w:ascii="Arial" w:hAnsi="Arial" w:cs="Arial"/>
                <w:b w:val="0"/>
                <w:bCs w:val="0"/>
                <w:iCs/>
                <w:szCs w:val="22"/>
              </w:rPr>
              <w:t xml:space="preserve">Continue to source licensed PERT through your usual wholesalers’ stock which is usually released from manufacturers to wholesalers three times a month. </w:t>
            </w:r>
          </w:p>
          <w:p w14:paraId="55BEA05B" w14:textId="44EF1C32" w:rsidR="006C2929" w:rsidRPr="00CA26F7" w:rsidRDefault="006C2929" w:rsidP="002773A4">
            <w:pPr>
              <w:pStyle w:val="ListParagraph"/>
              <w:numPr>
                <w:ilvl w:val="0"/>
                <w:numId w:val="8"/>
              </w:numPr>
              <w:ind w:left="360"/>
              <w:rPr>
                <w:rFonts w:ascii="Arial" w:eastAsia="Calibri" w:hAnsi="Arial" w:cs="Arial"/>
                <w:b w:val="0"/>
                <w:bCs w:val="0"/>
                <w:szCs w:val="22"/>
              </w:rPr>
            </w:pPr>
            <w:r w:rsidRPr="00CA26F7">
              <w:rPr>
                <w:rFonts w:ascii="Arial" w:eastAsia="Calibri" w:hAnsi="Arial" w:cs="Arial"/>
                <w:b w:val="0"/>
                <w:bCs w:val="0"/>
                <w:szCs w:val="22"/>
              </w:rPr>
              <w:t xml:space="preserve">Please secure the most </w:t>
            </w:r>
            <w:r w:rsidR="002E50F3" w:rsidRPr="00CA26F7">
              <w:rPr>
                <w:rFonts w:ascii="Arial" w:eastAsia="Calibri" w:hAnsi="Arial" w:cs="Arial"/>
                <w:b w:val="0"/>
                <w:bCs w:val="0"/>
                <w:szCs w:val="22"/>
              </w:rPr>
              <w:t>cost-effective</w:t>
            </w:r>
            <w:r w:rsidRPr="00CA26F7">
              <w:rPr>
                <w:rFonts w:ascii="Arial" w:eastAsia="Calibri" w:hAnsi="Arial" w:cs="Arial"/>
                <w:b w:val="0"/>
                <w:bCs w:val="0"/>
                <w:szCs w:val="22"/>
              </w:rPr>
              <w:t xml:space="preserve"> supply of unlicensed PERT (which may be through your usual wholesaler or O</w:t>
            </w:r>
            <w:r w:rsidR="002E50F3">
              <w:rPr>
                <w:rFonts w:ascii="Arial" w:eastAsia="Calibri" w:hAnsi="Arial" w:cs="Arial"/>
                <w:b w:val="0"/>
                <w:bCs w:val="0"/>
                <w:szCs w:val="22"/>
              </w:rPr>
              <w:t>xford Pharmacy Store (OPS)</w:t>
            </w:r>
            <w:r w:rsidRPr="00CA26F7">
              <w:rPr>
                <w:rFonts w:ascii="Arial" w:eastAsia="Calibri" w:hAnsi="Arial" w:cs="Arial"/>
                <w:b w:val="0"/>
                <w:bCs w:val="0"/>
                <w:szCs w:val="22"/>
              </w:rPr>
              <w:t>).</w:t>
            </w:r>
          </w:p>
          <w:p w14:paraId="3042E418" w14:textId="77777777" w:rsidR="006C2929" w:rsidRPr="006C2929" w:rsidRDefault="006C2929" w:rsidP="002773A4">
            <w:pPr>
              <w:pStyle w:val="ListParagraph"/>
              <w:numPr>
                <w:ilvl w:val="0"/>
                <w:numId w:val="8"/>
              </w:numPr>
              <w:ind w:left="360"/>
              <w:rPr>
                <w:rFonts w:ascii="Arial" w:hAnsi="Arial" w:cs="Arial"/>
                <w:b w:val="0"/>
                <w:bCs w:val="0"/>
                <w:iCs/>
                <w:szCs w:val="22"/>
              </w:rPr>
            </w:pPr>
            <w:r w:rsidRPr="00CA26F7">
              <w:rPr>
                <w:rFonts w:ascii="Arial" w:hAnsi="Arial" w:cs="Arial"/>
                <w:b w:val="0"/>
                <w:bCs w:val="0"/>
                <w:iCs/>
                <w:szCs w:val="22"/>
              </w:rPr>
              <w:t>If patients, ask to try a different pharmacy please return the prescription to the spine and give a printed token to the patient.</w:t>
            </w:r>
          </w:p>
          <w:p w14:paraId="0BAA4405" w14:textId="77777777" w:rsidR="005B7173" w:rsidRPr="005B7173" w:rsidRDefault="006C2929" w:rsidP="002773A4">
            <w:pPr>
              <w:pStyle w:val="ListParagraph"/>
              <w:numPr>
                <w:ilvl w:val="0"/>
                <w:numId w:val="8"/>
              </w:numPr>
              <w:ind w:left="360"/>
              <w:rPr>
                <w:rFonts w:ascii="Arial" w:hAnsi="Arial" w:cs="Arial"/>
                <w:b w:val="0"/>
                <w:bCs w:val="0"/>
                <w:color w:val="000000"/>
                <w:lang w:eastAsia="en-GB"/>
              </w:rPr>
            </w:pPr>
            <w:r w:rsidRPr="00F31715">
              <w:rPr>
                <w:b w:val="0"/>
                <w:bCs w:val="0"/>
              </w:rPr>
              <w:t xml:space="preserve">If patients are due to run out of licensed PERT in the next 10 days and there are no other preparations available, consider ordering Pangrol®. NEL pharmacies can access centralised stock of Pangrol® ordered from the </w:t>
            </w:r>
            <w:hyperlink r:id="rId21" w:history="1">
              <w:r w:rsidRPr="00F31715">
                <w:rPr>
                  <w:rStyle w:val="Hyperlink"/>
                  <w:rFonts w:ascii="Arial" w:hAnsi="Arial" w:cs="Arial"/>
                  <w:b w:val="0"/>
                  <w:bCs w:val="0"/>
                  <w:szCs w:val="22"/>
                </w:rPr>
                <w:t>Oxford Pharmacy Store</w:t>
              </w:r>
            </w:hyperlink>
            <w:r w:rsidRPr="00F31715">
              <w:rPr>
                <w:b w:val="0"/>
                <w:bCs w:val="0"/>
              </w:rPr>
              <w:t xml:space="preserve"> (OPS). </w:t>
            </w:r>
          </w:p>
          <w:p w14:paraId="06186696" w14:textId="6447FBEB" w:rsidR="00C546AA" w:rsidRPr="00284E12" w:rsidRDefault="005B7173" w:rsidP="002773A4">
            <w:pPr>
              <w:pStyle w:val="ListParagraph"/>
              <w:numPr>
                <w:ilvl w:val="0"/>
                <w:numId w:val="8"/>
              </w:numPr>
              <w:ind w:left="360"/>
              <w:rPr>
                <w:rFonts w:ascii="Arial" w:eastAsia="Times New Roman" w:hAnsi="Arial" w:cs="Arial"/>
                <w:b w:val="0"/>
                <w:color w:val="000000"/>
                <w:szCs w:val="22"/>
                <w:lang w:eastAsia="en-GB"/>
              </w:rPr>
            </w:pPr>
            <w:r w:rsidRPr="005B7173">
              <w:rPr>
                <w:rFonts w:ascii="Arial" w:hAnsi="Arial" w:cs="Arial"/>
                <w:b w:val="0"/>
                <w:bCs w:val="0"/>
                <w:color w:val="000000"/>
                <w:lang w:eastAsia="en-GB"/>
              </w:rPr>
              <w:t xml:space="preserve">Please contact the GP to request a </w:t>
            </w:r>
            <w:r w:rsidRPr="005B7173">
              <w:rPr>
                <w:rFonts w:ascii="Arial" w:hAnsi="Arial" w:cs="Arial"/>
                <w:color w:val="000000"/>
                <w:lang w:eastAsia="en-GB"/>
              </w:rPr>
              <w:t>handwritten paper FP10 prescription</w:t>
            </w:r>
            <w:r w:rsidRPr="005B7173">
              <w:rPr>
                <w:rFonts w:ascii="Arial" w:hAnsi="Arial" w:cs="Arial"/>
                <w:b w:val="0"/>
                <w:bCs w:val="0"/>
                <w:color w:val="000000"/>
                <w:lang w:eastAsia="en-GB"/>
              </w:rPr>
              <w:t xml:space="preserve"> for Pangrol® as soon as possible</w:t>
            </w:r>
            <w:r w:rsidR="00284E12">
              <w:rPr>
                <w:rFonts w:ascii="Arial" w:hAnsi="Arial" w:cs="Arial"/>
                <w:b w:val="0"/>
                <w:bCs w:val="0"/>
                <w:color w:val="000000"/>
                <w:lang w:eastAsia="en-GB"/>
              </w:rPr>
              <w:t>.</w:t>
            </w:r>
          </w:p>
          <w:p w14:paraId="0D2216EB" w14:textId="4805B865" w:rsidR="006C2929" w:rsidRPr="00C546AA" w:rsidRDefault="006C2929" w:rsidP="002773A4">
            <w:pPr>
              <w:pStyle w:val="ListParagraph"/>
              <w:numPr>
                <w:ilvl w:val="0"/>
                <w:numId w:val="8"/>
              </w:numPr>
              <w:ind w:left="360"/>
              <w:rPr>
                <w:rFonts w:ascii="Arial" w:hAnsi="Arial" w:cs="Arial"/>
                <w:b w:val="0"/>
                <w:bCs w:val="0"/>
                <w:color w:val="000000"/>
                <w:lang w:eastAsia="en-GB"/>
              </w:rPr>
            </w:pPr>
            <w:r w:rsidRPr="00C546AA">
              <w:rPr>
                <w:rFonts w:ascii="Arial" w:eastAsia="Times New Roman" w:hAnsi="Arial" w:cs="Arial"/>
                <w:b w:val="0"/>
                <w:bCs w:val="0"/>
                <w:color w:val="000000"/>
                <w:szCs w:val="22"/>
                <w:lang w:eastAsia="en-GB"/>
              </w:rPr>
              <w:t>Pharmacies will be able to order Pangrol</w:t>
            </w:r>
            <w:r w:rsidR="00C546AA">
              <w:rPr>
                <w:rFonts w:ascii="Arial" w:eastAsia="Times New Roman" w:hAnsi="Arial" w:cs="Arial"/>
                <w:b w:val="0"/>
                <w:bCs w:val="0"/>
                <w:color w:val="000000"/>
                <w:szCs w:val="22"/>
                <w:lang w:eastAsia="en-GB"/>
              </w:rPr>
              <w:t>®</w:t>
            </w:r>
            <w:r w:rsidRPr="00C546AA">
              <w:rPr>
                <w:rFonts w:ascii="Arial" w:eastAsia="Times New Roman" w:hAnsi="Arial" w:cs="Arial"/>
                <w:b w:val="0"/>
                <w:bCs w:val="0"/>
                <w:color w:val="000000"/>
                <w:szCs w:val="22"/>
                <w:lang w:eastAsia="en-GB"/>
              </w:rPr>
              <w:t xml:space="preserve"> from the OPS if they have an account set up with them</w:t>
            </w:r>
            <w:r w:rsidR="005B7173" w:rsidRPr="00C546AA">
              <w:rPr>
                <w:rFonts w:ascii="Arial" w:eastAsia="Times New Roman" w:hAnsi="Arial" w:cs="Arial"/>
                <w:color w:val="000000"/>
                <w:szCs w:val="22"/>
                <w:lang w:eastAsia="en-GB"/>
              </w:rPr>
              <w:t xml:space="preserve">. </w:t>
            </w:r>
            <w:r w:rsidRPr="00C546AA">
              <w:rPr>
                <w:rFonts w:ascii="Arial" w:eastAsia="Times New Roman" w:hAnsi="Arial" w:cs="Arial"/>
                <w:b w:val="0"/>
                <w:bCs w:val="0"/>
                <w:color w:val="000000"/>
                <w:szCs w:val="22"/>
                <w:lang w:eastAsia="en-GB"/>
              </w:rPr>
              <w:t xml:space="preserve">Existing customers should continue to place orders as usual. </w:t>
            </w:r>
          </w:p>
          <w:p w14:paraId="207F452F" w14:textId="063DD66F" w:rsidR="006C2929" w:rsidRPr="005B7173" w:rsidRDefault="006C2929" w:rsidP="002773A4">
            <w:pPr>
              <w:pStyle w:val="ListParagraph"/>
              <w:numPr>
                <w:ilvl w:val="0"/>
                <w:numId w:val="8"/>
              </w:numPr>
              <w:ind w:left="360"/>
              <w:rPr>
                <w:rFonts w:ascii="Arial" w:hAnsi="Arial" w:cs="Arial"/>
                <w:b w:val="0"/>
                <w:bCs w:val="0"/>
              </w:rPr>
            </w:pPr>
            <w:r w:rsidRPr="005B7173">
              <w:rPr>
                <w:rFonts w:ascii="Arial" w:hAnsi="Arial" w:cs="Arial"/>
                <w:b w:val="0"/>
                <w:bCs w:val="0"/>
                <w:color w:val="000000"/>
                <w:lang w:eastAsia="en-GB"/>
              </w:rPr>
              <w:t xml:space="preserve">For new customers, </w:t>
            </w:r>
            <w:hyperlink r:id="rId22" w:history="1">
              <w:r w:rsidRPr="005B7173">
                <w:rPr>
                  <w:rFonts w:ascii="Arial" w:hAnsi="Arial" w:cs="Arial"/>
                  <w:b w:val="0"/>
                  <w:bCs w:val="0"/>
                  <w:color w:val="0563C1"/>
                  <w:u w:val="single"/>
                  <w:lang w:eastAsia="en-GB"/>
                </w:rPr>
                <w:t>Register for a New Account</w:t>
              </w:r>
            </w:hyperlink>
            <w:r w:rsidRPr="005B7173">
              <w:rPr>
                <w:rFonts w:ascii="Arial" w:hAnsi="Arial" w:cs="Arial"/>
                <w:b w:val="0"/>
                <w:bCs w:val="0"/>
                <w:color w:val="000000"/>
                <w:lang w:eastAsia="en-GB"/>
              </w:rPr>
              <w:t xml:space="preserve"> or complete and return the completed </w:t>
            </w:r>
            <w:r w:rsidRPr="00A76DDF">
              <w:rPr>
                <w:rFonts w:ascii="Arial" w:hAnsi="Arial" w:cs="Arial"/>
                <w:b w:val="0"/>
                <w:bCs w:val="0"/>
                <w:lang w:eastAsia="en-GB"/>
              </w:rPr>
              <w:t>OPS New Customer Verification Form</w:t>
            </w:r>
            <w:r w:rsidRPr="005B7173">
              <w:rPr>
                <w:rFonts w:ascii="Arial" w:hAnsi="Arial" w:cs="Arial"/>
                <w:b w:val="0"/>
                <w:bCs w:val="0"/>
                <w:color w:val="000000"/>
                <w:lang w:eastAsia="en-GB"/>
              </w:rPr>
              <w:t xml:space="preserve"> to set up an account with OPS</w:t>
            </w:r>
            <w:r w:rsidRPr="005B7173">
              <w:rPr>
                <w:rFonts w:ascii="Arial" w:hAnsi="Arial" w:cs="Arial"/>
                <w:b w:val="0"/>
                <w:bCs w:val="0"/>
              </w:rPr>
              <w:t xml:space="preserve"> (this may take up to 3 days).</w:t>
            </w:r>
          </w:p>
          <w:p w14:paraId="4D8DE7FA" w14:textId="77777777" w:rsidR="006C2929" w:rsidRPr="0027492C" w:rsidRDefault="006C2929" w:rsidP="002773A4">
            <w:pPr>
              <w:pStyle w:val="ListParagraph"/>
              <w:numPr>
                <w:ilvl w:val="0"/>
                <w:numId w:val="8"/>
              </w:numPr>
              <w:ind w:left="360"/>
              <w:rPr>
                <w:rFonts w:ascii="Arial" w:hAnsi="Arial" w:cs="Arial"/>
                <w:b w:val="0"/>
                <w:bCs w:val="0"/>
                <w:color w:val="242424"/>
                <w:lang w:eastAsia="en-GB"/>
              </w:rPr>
            </w:pPr>
            <w:r w:rsidRPr="0027492C">
              <w:rPr>
                <w:rFonts w:ascii="Arial" w:hAnsi="Arial" w:cs="Arial"/>
                <w:b w:val="0"/>
                <w:bCs w:val="0"/>
                <w:iCs/>
                <w:color w:val="242424"/>
                <w:lang w:eastAsia="en-GB"/>
              </w:rPr>
              <w:t>Please note the following important details for returning the New Customer Verification Forms to OPS:</w:t>
            </w:r>
          </w:p>
          <w:p w14:paraId="58093BBC" w14:textId="77777777" w:rsidR="006C2929" w:rsidRPr="0027492C" w:rsidRDefault="006C2929" w:rsidP="002773A4">
            <w:pPr>
              <w:pStyle w:val="ListParagraph"/>
              <w:numPr>
                <w:ilvl w:val="0"/>
                <w:numId w:val="21"/>
              </w:numPr>
              <w:rPr>
                <w:rFonts w:ascii="Arial" w:hAnsi="Arial" w:cs="Arial"/>
                <w:b w:val="0"/>
                <w:bCs w:val="0"/>
                <w:color w:val="242424"/>
                <w:lang w:eastAsia="en-GB"/>
              </w:rPr>
            </w:pPr>
            <w:r w:rsidRPr="0027492C">
              <w:rPr>
                <w:rFonts w:ascii="Arial" w:hAnsi="Arial" w:cs="Arial"/>
                <w:b w:val="0"/>
                <w:bCs w:val="0"/>
                <w:iCs/>
                <w:color w:val="242424"/>
                <w:lang w:eastAsia="en-GB"/>
              </w:rPr>
              <w:t>Ensure the Customer Details and Customer Verification sections are completed.</w:t>
            </w:r>
          </w:p>
          <w:p w14:paraId="754573EF" w14:textId="2044AC55" w:rsidR="006C2929" w:rsidRPr="0027492C" w:rsidRDefault="006C2929" w:rsidP="002773A4">
            <w:pPr>
              <w:pStyle w:val="ListParagraph"/>
              <w:numPr>
                <w:ilvl w:val="0"/>
                <w:numId w:val="21"/>
              </w:numPr>
              <w:rPr>
                <w:rFonts w:ascii="Arial" w:hAnsi="Arial" w:cs="Arial"/>
                <w:b w:val="0"/>
                <w:bCs w:val="0"/>
                <w:color w:val="242424"/>
                <w:lang w:eastAsia="en-GB"/>
              </w:rPr>
            </w:pPr>
            <w:r w:rsidRPr="0027492C">
              <w:rPr>
                <w:rFonts w:ascii="Arial" w:hAnsi="Arial" w:cs="Arial"/>
                <w:b w:val="0"/>
                <w:bCs w:val="0"/>
                <w:iCs/>
                <w:color w:val="242424"/>
                <w:lang w:eastAsia="en-GB"/>
              </w:rPr>
              <w:t>Include the Supply of Unlicensed Medici</w:t>
            </w:r>
            <w:r w:rsidR="00663F91">
              <w:rPr>
                <w:rFonts w:ascii="Arial" w:hAnsi="Arial" w:cs="Arial"/>
                <w:b w:val="0"/>
                <w:bCs w:val="0"/>
                <w:iCs/>
                <w:color w:val="242424"/>
                <w:lang w:eastAsia="en-GB"/>
              </w:rPr>
              <w:t>ne</w:t>
            </w:r>
            <w:r w:rsidRPr="0027492C">
              <w:rPr>
                <w:rFonts w:ascii="Arial" w:hAnsi="Arial" w:cs="Arial"/>
                <w:b w:val="0"/>
                <w:bCs w:val="0"/>
                <w:iCs/>
                <w:color w:val="242424"/>
                <w:lang w:eastAsia="en-GB"/>
              </w:rPr>
              <w:t xml:space="preserve"> Confirmation Form.</w:t>
            </w:r>
          </w:p>
          <w:p w14:paraId="047D9376" w14:textId="77777777" w:rsidR="006C2929" w:rsidRPr="0027492C" w:rsidRDefault="006C2929" w:rsidP="002773A4">
            <w:pPr>
              <w:pStyle w:val="ListParagraph"/>
              <w:numPr>
                <w:ilvl w:val="0"/>
                <w:numId w:val="21"/>
              </w:numPr>
              <w:rPr>
                <w:rFonts w:ascii="Arial" w:hAnsi="Arial" w:cs="Arial"/>
                <w:b w:val="0"/>
                <w:bCs w:val="0"/>
                <w:color w:val="242424"/>
                <w:lang w:eastAsia="en-GB"/>
              </w:rPr>
            </w:pPr>
            <w:r w:rsidRPr="0027492C">
              <w:rPr>
                <w:rFonts w:ascii="Arial" w:hAnsi="Arial" w:cs="Arial"/>
                <w:b w:val="0"/>
                <w:bCs w:val="0"/>
                <w:iCs/>
                <w:color w:val="242424"/>
                <w:lang w:eastAsia="en-GB"/>
              </w:rPr>
              <w:t>OPS cannot accept typed name signatures; please ensure the documents have either an electronic or a wet signature.</w:t>
            </w:r>
          </w:p>
          <w:p w14:paraId="608EBE40" w14:textId="2419728C" w:rsidR="006C2929" w:rsidRPr="0027492C" w:rsidRDefault="006C2929" w:rsidP="002773A4">
            <w:pPr>
              <w:pStyle w:val="ListParagraph"/>
              <w:numPr>
                <w:ilvl w:val="0"/>
                <w:numId w:val="21"/>
              </w:numPr>
              <w:rPr>
                <w:rFonts w:ascii="Arial" w:hAnsi="Arial" w:cs="Arial"/>
                <w:b w:val="0"/>
                <w:bCs w:val="0"/>
                <w:color w:val="000000"/>
                <w:lang w:eastAsia="en-GB"/>
              </w:rPr>
            </w:pPr>
            <w:r w:rsidRPr="0027492C">
              <w:rPr>
                <w:rFonts w:ascii="Arial" w:hAnsi="Arial" w:cs="Arial"/>
                <w:b w:val="0"/>
                <w:bCs w:val="0"/>
                <w:iCs/>
                <w:color w:val="242424"/>
                <w:shd w:val="clear" w:color="auto" w:fill="FFFFFF"/>
                <w:lang w:eastAsia="en-GB"/>
              </w:rPr>
              <w:t>Return the signed forms along with a Purchase Order (PO) to </w:t>
            </w:r>
            <w:hyperlink r:id="rId23" w:tooltip="mailto:ops.orders@oxfordhealth.nhs.uk" w:history="1">
              <w:r w:rsidRPr="0027492C">
                <w:rPr>
                  <w:rFonts w:ascii="Arial" w:hAnsi="Arial" w:cs="Arial"/>
                  <w:b w:val="0"/>
                  <w:bCs w:val="0"/>
                  <w:iCs/>
                  <w:color w:val="0563C1"/>
                  <w:u w:val="single"/>
                  <w:bdr w:val="none" w:sz="0" w:space="0" w:color="auto" w:frame="1"/>
                  <w:shd w:val="clear" w:color="auto" w:fill="FFFFFF"/>
                  <w:lang w:eastAsia="en-GB"/>
                </w:rPr>
                <w:t>ops.orders@oxfordhealth.nhs.uk</w:t>
              </w:r>
            </w:hyperlink>
            <w:r w:rsidRPr="0027492C">
              <w:rPr>
                <w:rFonts w:ascii="Arial" w:hAnsi="Arial" w:cs="Arial"/>
                <w:b w:val="0"/>
                <w:bCs w:val="0"/>
                <w:iCs/>
                <w:color w:val="242424"/>
                <w:shd w:val="clear" w:color="auto" w:fill="FFFFFF"/>
                <w:lang w:eastAsia="en-GB"/>
              </w:rPr>
              <w:t xml:space="preserve"> </w:t>
            </w:r>
          </w:p>
          <w:p w14:paraId="5F2599C7" w14:textId="77777777" w:rsidR="006C2929" w:rsidRPr="00E82E3C" w:rsidRDefault="006C2929" w:rsidP="002773A4">
            <w:pPr>
              <w:pStyle w:val="ListParagraph"/>
              <w:numPr>
                <w:ilvl w:val="0"/>
                <w:numId w:val="21"/>
              </w:numPr>
              <w:rPr>
                <w:rFonts w:ascii="Arial" w:hAnsi="Arial" w:cs="Arial"/>
                <w:b w:val="0"/>
                <w:bCs w:val="0"/>
                <w:color w:val="000000"/>
                <w:lang w:eastAsia="en-GB"/>
              </w:rPr>
            </w:pPr>
            <w:r w:rsidRPr="0027492C">
              <w:rPr>
                <w:rFonts w:ascii="Arial" w:hAnsi="Arial" w:cs="Arial"/>
                <w:b w:val="0"/>
                <w:bCs w:val="0"/>
                <w:iCs/>
                <w:color w:val="242424"/>
                <w:shd w:val="clear" w:color="auto" w:fill="FFFFFF"/>
                <w:lang w:eastAsia="en-GB"/>
              </w:rPr>
              <w:t>Without these forms and a PO, they will be unable to set up your account. </w:t>
            </w:r>
          </w:p>
          <w:p w14:paraId="40896326" w14:textId="77777777" w:rsidR="006C2929" w:rsidRDefault="006C2929" w:rsidP="00FB33C9">
            <w:pPr>
              <w:ind w:left="1080"/>
              <w:rPr>
                <w:rFonts w:ascii="Arial" w:eastAsia="Times New Roman" w:hAnsi="Arial" w:cs="Arial"/>
                <w:b w:val="0"/>
                <w:bCs w:val="0"/>
                <w:color w:val="000000"/>
                <w:szCs w:val="22"/>
                <w:lang w:eastAsia="en-GB"/>
              </w:rPr>
            </w:pPr>
          </w:p>
          <w:p w14:paraId="71AD8C4F" w14:textId="522B9860" w:rsidR="006C2929" w:rsidRPr="00E82E3C" w:rsidRDefault="006C2929" w:rsidP="008151BE">
            <w:pPr>
              <w:rPr>
                <w:rFonts w:ascii="Arial" w:hAnsi="Arial" w:cs="Arial"/>
                <w:b w:val="0"/>
                <w:bCs w:val="0"/>
                <w:color w:val="000000"/>
                <w:lang w:eastAsia="en-GB"/>
              </w:rPr>
            </w:pPr>
            <w:r w:rsidRPr="00E82E3C">
              <w:rPr>
                <w:rFonts w:ascii="Arial" w:eastAsia="Times New Roman" w:hAnsi="Arial" w:cs="Arial"/>
                <w:color w:val="000000"/>
                <w:szCs w:val="22"/>
                <w:lang w:eastAsia="en-GB"/>
              </w:rPr>
              <w:t>Please send orders to </w:t>
            </w:r>
            <w:hyperlink r:id="rId24" w:history="1">
              <w:r w:rsidRPr="00E82E3C">
                <w:rPr>
                  <w:rFonts w:ascii="Arial" w:eastAsia="Times New Roman" w:hAnsi="Arial" w:cs="Arial"/>
                  <w:color w:val="0071CF"/>
                  <w:szCs w:val="22"/>
                  <w:u w:val="single"/>
                  <w:lang w:eastAsia="en-GB"/>
                </w:rPr>
                <w:t>ops.orders@oxfordhealth.nhs.uk</w:t>
              </w:r>
            </w:hyperlink>
            <w:r w:rsidRPr="00E82E3C">
              <w:rPr>
                <w:rFonts w:ascii="Arial" w:eastAsia="Times New Roman" w:hAnsi="Arial" w:cs="Arial"/>
                <w:color w:val="0071CF"/>
                <w:szCs w:val="22"/>
                <w:u w:val="single"/>
                <w:lang w:eastAsia="en-GB"/>
              </w:rPr>
              <w:t xml:space="preserve"> </w:t>
            </w:r>
            <w:r w:rsidRPr="00E82E3C">
              <w:rPr>
                <w:rFonts w:ascii="Arial" w:eastAsia="Times New Roman" w:hAnsi="Arial" w:cs="Arial"/>
                <w:szCs w:val="22"/>
                <w:lang w:eastAsia="en-GB"/>
              </w:rPr>
              <w:t xml:space="preserve">or via </w:t>
            </w:r>
            <w:r w:rsidR="002E50F3">
              <w:rPr>
                <w:rFonts w:ascii="Arial" w:eastAsia="Times New Roman" w:hAnsi="Arial" w:cs="Arial"/>
                <w:szCs w:val="22"/>
                <w:lang w:eastAsia="en-GB"/>
              </w:rPr>
              <w:t xml:space="preserve">an </w:t>
            </w:r>
            <w:r w:rsidRPr="00E82E3C">
              <w:rPr>
                <w:rFonts w:ascii="Arial" w:eastAsia="Times New Roman" w:hAnsi="Arial" w:cs="Arial"/>
                <w:szCs w:val="22"/>
                <w:lang w:eastAsia="en-GB"/>
              </w:rPr>
              <w:t xml:space="preserve">online order form accessible via </w:t>
            </w:r>
            <w:hyperlink r:id="rId25" w:history="1">
              <w:r w:rsidRPr="00E82E3C">
                <w:rPr>
                  <w:rFonts w:ascii="Arial" w:eastAsia="Times New Roman" w:hAnsi="Arial" w:cs="Arial"/>
                  <w:color w:val="0563C1"/>
                  <w:szCs w:val="22"/>
                  <w:u w:val="single"/>
                  <w:lang w:eastAsia="en-GB"/>
                </w:rPr>
                <w:t>Oxford Pharmacy Store: Order Information</w:t>
              </w:r>
            </w:hyperlink>
          </w:p>
          <w:p w14:paraId="741A4D64" w14:textId="77777777" w:rsidR="006C2929" w:rsidRPr="0027492C" w:rsidRDefault="006C2929" w:rsidP="008151BE">
            <w:pPr>
              <w:rPr>
                <w:rFonts w:ascii="Arial" w:hAnsi="Arial" w:cs="Arial"/>
                <w:iCs/>
                <w:szCs w:val="22"/>
              </w:rPr>
            </w:pPr>
          </w:p>
          <w:p w14:paraId="3017FADA" w14:textId="77777777" w:rsidR="006C2929" w:rsidRDefault="006C2929" w:rsidP="00A76DDF">
            <w:pPr>
              <w:spacing w:after="240"/>
              <w:jc w:val="both"/>
              <w:rPr>
                <w:rFonts w:ascii="Arial" w:hAnsi="Arial" w:cs="Arial"/>
                <w:b w:val="0"/>
                <w:bCs w:val="0"/>
                <w:szCs w:val="22"/>
              </w:rPr>
            </w:pPr>
            <w:r>
              <w:rPr>
                <w:rFonts w:ascii="Arial" w:hAnsi="Arial" w:cs="Arial"/>
                <w:szCs w:val="22"/>
              </w:rPr>
              <w:t>How to dispense prescriptions for Pangrol®</w:t>
            </w:r>
          </w:p>
          <w:p w14:paraId="290B30B6" w14:textId="2F58B0C0" w:rsidR="007935E5" w:rsidRPr="007935E5" w:rsidRDefault="007935E5" w:rsidP="002773A4">
            <w:pPr>
              <w:pStyle w:val="ListParagraph"/>
              <w:numPr>
                <w:ilvl w:val="0"/>
                <w:numId w:val="20"/>
              </w:numPr>
              <w:ind w:left="360"/>
              <w:rPr>
                <w:rFonts w:ascii="Arial" w:hAnsi="Arial" w:cs="Arial"/>
                <w:b w:val="0"/>
                <w:bCs w:val="0"/>
                <w:szCs w:val="22"/>
              </w:rPr>
            </w:pPr>
            <w:r w:rsidRPr="007935E5">
              <w:rPr>
                <w:rFonts w:ascii="Arial" w:hAnsi="Arial" w:cs="Arial"/>
                <w:b w:val="0"/>
                <w:bCs w:val="0"/>
                <w:szCs w:val="22"/>
              </w:rPr>
              <w:t>There is a clinical difference between Pangrol</w:t>
            </w:r>
            <w:r w:rsidR="00C546AA">
              <w:rPr>
                <w:rFonts w:ascii="Arial" w:hAnsi="Arial" w:cs="Arial"/>
                <w:b w:val="0"/>
                <w:bCs w:val="0"/>
                <w:szCs w:val="22"/>
              </w:rPr>
              <w:t xml:space="preserve">® </w:t>
            </w:r>
            <w:r w:rsidRPr="007935E5">
              <w:rPr>
                <w:rFonts w:ascii="Arial" w:hAnsi="Arial" w:cs="Arial"/>
                <w:b w:val="0"/>
                <w:bCs w:val="0"/>
                <w:szCs w:val="22"/>
              </w:rPr>
              <w:t>and Creon</w:t>
            </w:r>
            <w:r w:rsidR="00C546AA">
              <w:rPr>
                <w:rFonts w:ascii="Arial" w:hAnsi="Arial" w:cs="Arial"/>
                <w:b w:val="0"/>
                <w:bCs w:val="0"/>
                <w:szCs w:val="22"/>
              </w:rPr>
              <w:t xml:space="preserve">®. </w:t>
            </w:r>
            <w:r w:rsidRPr="007935E5">
              <w:rPr>
                <w:rFonts w:ascii="Arial" w:eastAsia="Calibri" w:hAnsi="Arial" w:cs="Arial"/>
                <w:b w:val="0"/>
                <w:bCs w:val="0"/>
                <w:szCs w:val="22"/>
              </w:rPr>
              <w:t>Pharmacist should counsel patients on how to take Pangrol</w:t>
            </w:r>
            <w:r w:rsidR="00370FA9">
              <w:rPr>
                <w:rFonts w:ascii="Arial" w:eastAsia="Calibri" w:hAnsi="Arial" w:cs="Arial"/>
                <w:b w:val="0"/>
                <w:bCs w:val="0"/>
                <w:szCs w:val="22"/>
              </w:rPr>
              <w:t>®</w:t>
            </w:r>
            <w:r w:rsidRPr="007935E5">
              <w:rPr>
                <w:rFonts w:ascii="Arial" w:eastAsia="Calibri" w:hAnsi="Arial" w:cs="Arial"/>
                <w:b w:val="0"/>
                <w:bCs w:val="0"/>
                <w:szCs w:val="22"/>
              </w:rPr>
              <w:t>.</w:t>
            </w:r>
          </w:p>
          <w:p w14:paraId="2D587C2D" w14:textId="0DDA4FE9" w:rsidR="007935E5" w:rsidRPr="00DE5EB7" w:rsidRDefault="007935E5" w:rsidP="002773A4">
            <w:pPr>
              <w:numPr>
                <w:ilvl w:val="1"/>
                <w:numId w:val="8"/>
              </w:numPr>
              <w:ind w:left="720"/>
              <w:contextualSpacing/>
              <w:rPr>
                <w:rFonts w:ascii="Arial" w:hAnsi="Arial" w:cs="Arial"/>
                <w:b w:val="0"/>
                <w:bCs w:val="0"/>
                <w:szCs w:val="22"/>
              </w:rPr>
            </w:pPr>
            <w:r w:rsidRPr="00DE5EB7">
              <w:rPr>
                <w:rFonts w:ascii="Arial" w:hAnsi="Arial" w:cs="Arial"/>
                <w:b w:val="0"/>
                <w:bCs w:val="0"/>
                <w:szCs w:val="22"/>
              </w:rPr>
              <w:t>The Pangrol</w:t>
            </w:r>
            <w:r>
              <w:rPr>
                <w:rFonts w:ascii="Arial" w:hAnsi="Arial" w:cs="Arial"/>
                <w:b w:val="0"/>
                <w:bCs w:val="0"/>
                <w:szCs w:val="22"/>
              </w:rPr>
              <w:t>®</w:t>
            </w:r>
            <w:r w:rsidRPr="00DE5EB7">
              <w:rPr>
                <w:rFonts w:ascii="Arial" w:hAnsi="Arial" w:cs="Arial"/>
                <w:b w:val="0"/>
                <w:bCs w:val="0"/>
                <w:szCs w:val="22"/>
                <w:vertAlign w:val="superscript"/>
              </w:rPr>
              <w:t xml:space="preserve"> </w:t>
            </w:r>
            <w:r w:rsidRPr="00DE5EB7">
              <w:rPr>
                <w:rFonts w:ascii="Arial" w:hAnsi="Arial" w:cs="Arial"/>
                <w:b w:val="0"/>
                <w:bCs w:val="0"/>
                <w:szCs w:val="22"/>
              </w:rPr>
              <w:t xml:space="preserve">PIL states: "If you have difficulty swallowing the capsule whole, you can also carefully open it over a suitable container by pulling it apart and swallowing only the contents with a little liquid immediately and without chewing". </w:t>
            </w:r>
          </w:p>
          <w:p w14:paraId="5F8AEB52" w14:textId="03F5F590" w:rsidR="007935E5" w:rsidRPr="007935E5" w:rsidRDefault="007935E5" w:rsidP="002773A4">
            <w:pPr>
              <w:pStyle w:val="ListParagraph"/>
              <w:numPr>
                <w:ilvl w:val="1"/>
                <w:numId w:val="8"/>
              </w:numPr>
              <w:spacing w:after="160"/>
              <w:ind w:left="720"/>
              <w:rPr>
                <w:rFonts w:ascii="Arial" w:hAnsi="Arial" w:cs="Arial"/>
                <w:b w:val="0"/>
                <w:bCs w:val="0"/>
                <w:szCs w:val="22"/>
              </w:rPr>
            </w:pPr>
            <w:r w:rsidRPr="00DE5EB7">
              <w:rPr>
                <w:rFonts w:ascii="Arial" w:hAnsi="Arial" w:cs="Arial"/>
                <w:b w:val="0"/>
                <w:bCs w:val="0"/>
                <w:szCs w:val="22"/>
              </w:rPr>
              <w:t>The Creon</w:t>
            </w:r>
            <w:r>
              <w:rPr>
                <w:rFonts w:ascii="Arial" w:hAnsi="Arial" w:cs="Arial"/>
                <w:b w:val="0"/>
                <w:bCs w:val="0"/>
                <w:szCs w:val="22"/>
              </w:rPr>
              <w:t>®</w:t>
            </w:r>
            <w:r w:rsidRPr="00DE5EB7">
              <w:rPr>
                <w:rFonts w:ascii="Arial" w:hAnsi="Arial" w:cs="Arial"/>
                <w:b w:val="0"/>
                <w:bCs w:val="0"/>
                <w:szCs w:val="22"/>
              </w:rPr>
              <w:t xml:space="preserve"> PIL states: If the capsules cannot be taken whole, “open the capsules and mix the granules (without crushing) with acidic liquid (e.g. apple, orange or pineapple juice) or soft food (e.g. apple sauce or yoghurt). Swallow the mixture straight away, without chewing”</w:t>
            </w:r>
            <w:r w:rsidR="007134DD">
              <w:rPr>
                <w:rFonts w:ascii="Arial" w:hAnsi="Arial" w:cs="Arial"/>
                <w:b w:val="0"/>
                <w:bCs w:val="0"/>
                <w:szCs w:val="22"/>
              </w:rPr>
              <w:t xml:space="preserve">. </w:t>
            </w:r>
          </w:p>
          <w:p w14:paraId="22FF4B0C" w14:textId="0D3F7506" w:rsidR="006C2929" w:rsidRPr="0015571E" w:rsidRDefault="006C2929" w:rsidP="002773A4">
            <w:pPr>
              <w:pStyle w:val="ListParagraph"/>
              <w:numPr>
                <w:ilvl w:val="0"/>
                <w:numId w:val="8"/>
              </w:numPr>
              <w:ind w:left="360"/>
              <w:jc w:val="both"/>
              <w:rPr>
                <w:rFonts w:ascii="Arial" w:hAnsi="Arial" w:cs="Arial"/>
                <w:b w:val="0"/>
                <w:bCs w:val="0"/>
                <w:szCs w:val="22"/>
              </w:rPr>
            </w:pPr>
            <w:r w:rsidRPr="0015571E">
              <w:rPr>
                <w:rFonts w:ascii="Arial" w:hAnsi="Arial" w:cs="Arial"/>
                <w:b w:val="0"/>
                <w:bCs w:val="0"/>
                <w:szCs w:val="22"/>
              </w:rPr>
              <w:t>When dispensing please print and include the relevant patient information leaflet</w:t>
            </w:r>
            <w:r w:rsidR="005C71C6">
              <w:rPr>
                <w:rFonts w:ascii="Arial" w:hAnsi="Arial" w:cs="Arial"/>
                <w:b w:val="0"/>
                <w:bCs w:val="0"/>
                <w:szCs w:val="22"/>
              </w:rPr>
              <w:t xml:space="preserve">: </w:t>
            </w:r>
          </w:p>
          <w:p w14:paraId="36EEDAA2" w14:textId="77777777" w:rsidR="006C2929" w:rsidRPr="0015571E" w:rsidRDefault="006C2929" w:rsidP="002773A4">
            <w:pPr>
              <w:pStyle w:val="ListParagraph"/>
              <w:numPr>
                <w:ilvl w:val="1"/>
                <w:numId w:val="8"/>
              </w:numPr>
              <w:ind w:left="720"/>
              <w:jc w:val="both"/>
              <w:rPr>
                <w:rFonts w:ascii="Arial" w:hAnsi="Arial" w:cs="Arial"/>
                <w:b w:val="0"/>
                <w:bCs w:val="0"/>
                <w:szCs w:val="22"/>
              </w:rPr>
            </w:pPr>
            <w:hyperlink r:id="rId26" w:history="1">
              <w:r w:rsidRPr="00597DAA">
                <w:rPr>
                  <w:rStyle w:val="Hyperlink"/>
                  <w:rFonts w:ascii="Arial" w:hAnsi="Arial" w:cs="Arial"/>
                  <w:b w:val="0"/>
                  <w:bCs w:val="0"/>
                  <w:szCs w:val="22"/>
                </w:rPr>
                <w:t>Patient Information Leaflet:  Pangrol® 10 000</w:t>
              </w:r>
            </w:hyperlink>
            <w:r w:rsidRPr="00597DAA">
              <w:rPr>
                <w:rFonts w:ascii="Arial" w:hAnsi="Arial" w:cs="Arial"/>
                <w:b w:val="0"/>
                <w:bCs w:val="0"/>
                <w:szCs w:val="22"/>
              </w:rPr>
              <w:t xml:space="preserve"> </w:t>
            </w:r>
          </w:p>
          <w:p w14:paraId="04465970" w14:textId="77777777" w:rsidR="006C2929" w:rsidRPr="0015571E" w:rsidRDefault="006C2929" w:rsidP="002773A4">
            <w:pPr>
              <w:pStyle w:val="ListParagraph"/>
              <w:numPr>
                <w:ilvl w:val="1"/>
                <w:numId w:val="8"/>
              </w:numPr>
              <w:ind w:left="720"/>
              <w:jc w:val="both"/>
              <w:rPr>
                <w:rFonts w:ascii="Arial" w:hAnsi="Arial" w:cs="Arial"/>
                <w:b w:val="0"/>
                <w:bCs w:val="0"/>
                <w:szCs w:val="22"/>
              </w:rPr>
            </w:pPr>
            <w:hyperlink r:id="rId27" w:history="1">
              <w:r w:rsidRPr="0015571E">
                <w:rPr>
                  <w:rStyle w:val="Hyperlink"/>
                  <w:rFonts w:ascii="Arial" w:hAnsi="Arial" w:cs="Arial"/>
                  <w:b w:val="0"/>
                  <w:bCs w:val="0"/>
                  <w:szCs w:val="22"/>
                </w:rPr>
                <w:t xml:space="preserve">Patient Information Leaflet: </w:t>
              </w:r>
            </w:hyperlink>
            <w:hyperlink r:id="rId28" w:history="1">
              <w:r w:rsidRPr="0015571E">
                <w:rPr>
                  <w:rStyle w:val="Hyperlink"/>
                  <w:rFonts w:ascii="Arial" w:hAnsi="Arial" w:cs="Arial"/>
                  <w:b w:val="0"/>
                  <w:bCs w:val="0"/>
                  <w:szCs w:val="22"/>
                </w:rPr>
                <w:t>Pangrol</w:t>
              </w:r>
            </w:hyperlink>
            <w:hyperlink r:id="rId29" w:history="1">
              <w:r w:rsidRPr="0015571E">
                <w:rPr>
                  <w:rStyle w:val="Hyperlink"/>
                  <w:rFonts w:ascii="Arial" w:hAnsi="Arial" w:cs="Arial"/>
                  <w:b w:val="0"/>
                  <w:bCs w:val="0"/>
                  <w:szCs w:val="22"/>
                </w:rPr>
                <w:t>® 25 000</w:t>
              </w:r>
            </w:hyperlink>
          </w:p>
          <w:p w14:paraId="19E1D656" w14:textId="77777777" w:rsidR="006C2929" w:rsidRDefault="006C2929" w:rsidP="00FB33C9">
            <w:pPr>
              <w:jc w:val="both"/>
              <w:rPr>
                <w:rFonts w:ascii="Arial" w:hAnsi="Arial" w:cs="Arial"/>
                <w:b w:val="0"/>
                <w:bCs w:val="0"/>
                <w:szCs w:val="22"/>
              </w:rPr>
            </w:pPr>
          </w:p>
          <w:p w14:paraId="07E86103" w14:textId="77777777" w:rsidR="006C2929" w:rsidRPr="001D475A" w:rsidRDefault="006C2929" w:rsidP="001D475A">
            <w:pPr>
              <w:ind w:left="283" w:hanging="283"/>
              <w:jc w:val="both"/>
              <w:rPr>
                <w:rFonts w:ascii="Arial" w:hAnsi="Arial" w:cs="Arial"/>
                <w:b w:val="0"/>
                <w:bCs w:val="0"/>
                <w:szCs w:val="22"/>
              </w:rPr>
            </w:pPr>
            <w:r w:rsidRPr="001D475A">
              <w:rPr>
                <w:rFonts w:ascii="Arial" w:hAnsi="Arial" w:cs="Arial"/>
                <w:szCs w:val="22"/>
              </w:rPr>
              <w:t>How to endorse prescriptions for Pangrol®</w:t>
            </w:r>
          </w:p>
          <w:p w14:paraId="0BC7798D" w14:textId="77777777" w:rsidR="001D475A" w:rsidRPr="001D475A" w:rsidRDefault="001D475A" w:rsidP="001D475A">
            <w:pPr>
              <w:ind w:left="283" w:hanging="283"/>
              <w:jc w:val="both"/>
              <w:rPr>
                <w:rFonts w:ascii="Arial" w:hAnsi="Arial" w:cs="Arial"/>
                <w:b w:val="0"/>
                <w:bCs w:val="0"/>
                <w:szCs w:val="22"/>
              </w:rPr>
            </w:pPr>
          </w:p>
          <w:p w14:paraId="78DE534E" w14:textId="55F3F9EA" w:rsidR="006C2929" w:rsidRPr="001D475A" w:rsidRDefault="006C2929" w:rsidP="001D475A">
            <w:pPr>
              <w:ind w:left="283" w:hanging="283"/>
              <w:jc w:val="both"/>
              <w:rPr>
                <w:rFonts w:ascii="Arial" w:hAnsi="Arial" w:cs="Arial"/>
                <w:b w:val="0"/>
                <w:bCs w:val="0"/>
                <w:szCs w:val="22"/>
              </w:rPr>
            </w:pPr>
            <w:r w:rsidRPr="001D475A">
              <w:rPr>
                <w:rFonts w:ascii="Arial" w:hAnsi="Arial" w:cs="Arial"/>
                <w:b w:val="0"/>
                <w:bCs w:val="0"/>
                <w:szCs w:val="22"/>
              </w:rPr>
              <w:t xml:space="preserve">Make sure any Pangrol® paper FP10 prescriptions are endorsed with the following information: </w:t>
            </w:r>
          </w:p>
          <w:p w14:paraId="042EBF6A" w14:textId="39E112F8" w:rsidR="006C2929" w:rsidRPr="001D475A" w:rsidRDefault="006C2929" w:rsidP="00284E12">
            <w:pPr>
              <w:pStyle w:val="ListParagraph"/>
              <w:numPr>
                <w:ilvl w:val="0"/>
                <w:numId w:val="22"/>
              </w:numPr>
              <w:jc w:val="both"/>
              <w:rPr>
                <w:rFonts w:ascii="Arial" w:hAnsi="Arial" w:cs="Arial"/>
                <w:b w:val="0"/>
                <w:bCs w:val="0"/>
                <w:szCs w:val="22"/>
              </w:rPr>
            </w:pPr>
            <w:r w:rsidRPr="001D475A">
              <w:rPr>
                <w:rFonts w:ascii="Arial" w:hAnsi="Arial" w:cs="Arial"/>
                <w:szCs w:val="22"/>
              </w:rPr>
              <w:t>Amount dispensed over pack size</w:t>
            </w:r>
            <w:r w:rsidRPr="001D475A">
              <w:rPr>
                <w:rFonts w:ascii="Arial" w:hAnsi="Arial" w:cs="Arial"/>
                <w:b w:val="0"/>
                <w:bCs w:val="0"/>
                <w:szCs w:val="22"/>
              </w:rPr>
              <w:t xml:space="preserve"> (</w:t>
            </w:r>
            <w:r w:rsidR="0095799E" w:rsidRPr="001D475A">
              <w:rPr>
                <w:rFonts w:ascii="Arial" w:hAnsi="Arial" w:cs="Arial"/>
                <w:b w:val="0"/>
                <w:bCs w:val="0"/>
                <w:szCs w:val="22"/>
              </w:rPr>
              <w:t xml:space="preserve">e.g. </w:t>
            </w:r>
            <w:r w:rsidRPr="001D475A">
              <w:rPr>
                <w:rFonts w:ascii="Arial" w:hAnsi="Arial" w:cs="Arial"/>
                <w:b w:val="0"/>
                <w:bCs w:val="0"/>
                <w:szCs w:val="22"/>
              </w:rPr>
              <w:t>200) used</w:t>
            </w:r>
          </w:p>
          <w:p w14:paraId="10720487" w14:textId="407EB435" w:rsidR="006C2929" w:rsidRPr="001D475A" w:rsidRDefault="006C2929" w:rsidP="00284E12">
            <w:pPr>
              <w:pStyle w:val="ListParagraph"/>
              <w:numPr>
                <w:ilvl w:val="0"/>
                <w:numId w:val="22"/>
              </w:numPr>
              <w:jc w:val="both"/>
              <w:rPr>
                <w:rFonts w:ascii="Arial" w:hAnsi="Arial" w:cs="Arial"/>
                <w:szCs w:val="22"/>
              </w:rPr>
            </w:pPr>
            <w:r w:rsidRPr="001D475A">
              <w:rPr>
                <w:rFonts w:ascii="Arial" w:hAnsi="Arial" w:cs="Arial"/>
                <w:szCs w:val="22"/>
              </w:rPr>
              <w:t xml:space="preserve">Invoice price per pack size </w:t>
            </w:r>
            <w:r w:rsidRPr="00C61369">
              <w:rPr>
                <w:rFonts w:ascii="Arial" w:hAnsi="Arial" w:cs="Arial"/>
                <w:b w:val="0"/>
                <w:bCs w:val="0"/>
                <w:szCs w:val="22"/>
              </w:rPr>
              <w:t>from which the order was supplied less any discount or rebate; make sure to</w:t>
            </w:r>
            <w:r w:rsidR="001D475A" w:rsidRPr="00C61369">
              <w:rPr>
                <w:rFonts w:ascii="Arial" w:hAnsi="Arial" w:cs="Arial"/>
                <w:b w:val="0"/>
                <w:bCs w:val="0"/>
                <w:szCs w:val="22"/>
              </w:rPr>
              <w:t xml:space="preserve"> </w:t>
            </w:r>
            <w:r w:rsidRPr="00C61369">
              <w:rPr>
                <w:rFonts w:ascii="Arial" w:hAnsi="Arial" w:cs="Arial"/>
                <w:b w:val="0"/>
                <w:bCs w:val="0"/>
                <w:szCs w:val="22"/>
              </w:rPr>
              <w:t>include delivery cost</w:t>
            </w:r>
            <w:r w:rsidRPr="001D475A">
              <w:rPr>
                <w:rFonts w:ascii="Arial" w:hAnsi="Arial" w:cs="Arial"/>
                <w:szCs w:val="22"/>
              </w:rPr>
              <w:t xml:space="preserve"> </w:t>
            </w:r>
          </w:p>
          <w:p w14:paraId="0124594F" w14:textId="77777777" w:rsidR="006C2929" w:rsidRPr="001D475A" w:rsidRDefault="006C2929" w:rsidP="00284E12">
            <w:pPr>
              <w:pStyle w:val="ListParagraph"/>
              <w:numPr>
                <w:ilvl w:val="0"/>
                <w:numId w:val="22"/>
              </w:numPr>
              <w:jc w:val="both"/>
              <w:rPr>
                <w:rFonts w:ascii="Arial" w:hAnsi="Arial" w:cs="Arial"/>
                <w:szCs w:val="22"/>
              </w:rPr>
            </w:pPr>
            <w:r w:rsidRPr="00C61369">
              <w:rPr>
                <w:rFonts w:ascii="Arial" w:hAnsi="Arial" w:cs="Arial"/>
                <w:b w:val="0"/>
                <w:bCs w:val="0"/>
                <w:szCs w:val="22"/>
              </w:rPr>
              <w:lastRenderedPageBreak/>
              <w:t>Manufacturers’/importers’ (Target Healthcare) MHRA licence number which is</w:t>
            </w:r>
            <w:r w:rsidRPr="001D475A">
              <w:rPr>
                <w:rFonts w:ascii="Arial" w:hAnsi="Arial" w:cs="Arial"/>
                <w:szCs w:val="22"/>
              </w:rPr>
              <w:t>; MS43086/ WDA(H)43086</w:t>
            </w:r>
          </w:p>
          <w:p w14:paraId="6A82C9E5" w14:textId="77777777" w:rsidR="006C2929" w:rsidRPr="001D475A" w:rsidRDefault="006C2929" w:rsidP="00284E12">
            <w:pPr>
              <w:pStyle w:val="ListParagraph"/>
              <w:numPr>
                <w:ilvl w:val="0"/>
                <w:numId w:val="22"/>
              </w:numPr>
              <w:jc w:val="both"/>
              <w:rPr>
                <w:rFonts w:ascii="Arial" w:hAnsi="Arial" w:cs="Arial"/>
                <w:szCs w:val="22"/>
              </w:rPr>
            </w:pPr>
            <w:r w:rsidRPr="001D475A">
              <w:rPr>
                <w:rFonts w:ascii="Arial" w:hAnsi="Arial" w:cs="Arial"/>
                <w:szCs w:val="22"/>
              </w:rPr>
              <w:t>Batch number of the product supplied;</w:t>
            </w:r>
          </w:p>
          <w:p w14:paraId="368837C0" w14:textId="77777777" w:rsidR="006C2929" w:rsidRPr="001D475A" w:rsidRDefault="006C2929" w:rsidP="00284E12">
            <w:pPr>
              <w:pStyle w:val="ListParagraph"/>
              <w:numPr>
                <w:ilvl w:val="0"/>
                <w:numId w:val="22"/>
              </w:numPr>
              <w:jc w:val="both"/>
              <w:rPr>
                <w:rFonts w:ascii="Arial" w:hAnsi="Arial" w:cs="Arial"/>
                <w:szCs w:val="22"/>
              </w:rPr>
            </w:pPr>
            <w:r w:rsidRPr="00C61369">
              <w:rPr>
                <w:rFonts w:ascii="Arial" w:hAnsi="Arial" w:cs="Arial"/>
                <w:b w:val="0"/>
                <w:bCs w:val="0"/>
                <w:szCs w:val="22"/>
              </w:rPr>
              <w:t>The letters</w:t>
            </w:r>
            <w:r w:rsidRPr="001D475A">
              <w:rPr>
                <w:rFonts w:ascii="Arial" w:hAnsi="Arial" w:cs="Arial"/>
                <w:szCs w:val="22"/>
              </w:rPr>
              <w:t xml:space="preserve"> ‘SP’ </w:t>
            </w:r>
            <w:r w:rsidRPr="00C61369">
              <w:rPr>
                <w:rFonts w:ascii="Arial" w:hAnsi="Arial" w:cs="Arial"/>
                <w:b w:val="0"/>
                <w:bCs w:val="0"/>
                <w:szCs w:val="22"/>
              </w:rPr>
              <w:t>to indicate it is a specia</w:t>
            </w:r>
            <w:r w:rsidRPr="00420F57">
              <w:rPr>
                <w:rFonts w:ascii="Arial" w:hAnsi="Arial" w:cs="Arial"/>
                <w:b w:val="0"/>
                <w:bCs w:val="0"/>
                <w:szCs w:val="22"/>
              </w:rPr>
              <w:t>l.</w:t>
            </w:r>
          </w:p>
          <w:p w14:paraId="22CF92B9" w14:textId="464AAC79" w:rsidR="006C2929" w:rsidRPr="004329C8" w:rsidRDefault="006C2929" w:rsidP="008151BE">
            <w:pPr>
              <w:shd w:val="clear" w:color="auto" w:fill="FFFFFF"/>
              <w:rPr>
                <w:rFonts w:ascii="Arial" w:eastAsia="Times New Roman" w:hAnsi="Arial" w:cs="Arial"/>
                <w:b w:val="0"/>
                <w:bCs w:val="0"/>
                <w:color w:val="000000"/>
                <w:szCs w:val="22"/>
                <w:lang w:eastAsia="en-GB"/>
              </w:rPr>
            </w:pPr>
            <w:r w:rsidRPr="00737819">
              <w:rPr>
                <w:rFonts w:ascii="Arial" w:eastAsia="Times New Roman" w:hAnsi="Arial" w:cs="Arial"/>
                <w:b w:val="0"/>
                <w:bCs w:val="0"/>
                <w:color w:val="000000"/>
                <w:szCs w:val="22"/>
                <w:lang w:eastAsia="en-GB"/>
              </w:rPr>
              <w:t xml:space="preserve">Refer to </w:t>
            </w:r>
            <w:hyperlink r:id="rId30" w:history="1">
              <w:r w:rsidRPr="00737819">
                <w:rPr>
                  <w:rStyle w:val="Hyperlink"/>
                  <w:rFonts w:ascii="Arial" w:eastAsia="Times New Roman" w:hAnsi="Arial" w:cs="Arial"/>
                  <w:b w:val="0"/>
                  <w:bCs w:val="0"/>
                  <w:szCs w:val="22"/>
                  <w:lang w:eastAsia="en-GB"/>
                </w:rPr>
                <w:t>How should I endorse a special, unlicensed or imported drug?</w:t>
              </w:r>
            </w:hyperlink>
            <w:r w:rsidRPr="00737819">
              <w:rPr>
                <w:rFonts w:ascii="Arial" w:eastAsia="Times New Roman" w:hAnsi="Arial" w:cs="Arial"/>
                <w:b w:val="0"/>
                <w:bCs w:val="0"/>
                <w:color w:val="000000"/>
                <w:szCs w:val="22"/>
                <w:lang w:eastAsia="en-GB"/>
              </w:rPr>
              <w:t xml:space="preserve"> </w:t>
            </w:r>
          </w:p>
        </w:tc>
      </w:tr>
    </w:tbl>
    <w:p w14:paraId="7293AB3F" w14:textId="77777777" w:rsidR="00C24318" w:rsidRDefault="00C24318" w:rsidP="00CD70DD">
      <w:pPr>
        <w:spacing w:after="75"/>
      </w:pPr>
    </w:p>
    <w:p w14:paraId="267828AE" w14:textId="6680B459" w:rsidR="00CD70DD" w:rsidRDefault="00CD70DD" w:rsidP="00CD70DD">
      <w:pPr>
        <w:spacing w:after="75"/>
      </w:pPr>
      <w:r w:rsidRPr="00140B9B">
        <w:t>Please</w:t>
      </w:r>
      <w:r w:rsidRPr="00044E91">
        <w:rPr>
          <w:spacing w:val="-6"/>
        </w:rPr>
        <w:t xml:space="preserve"> </w:t>
      </w:r>
      <w:r w:rsidRPr="00140B9B">
        <w:t>continue</w:t>
      </w:r>
      <w:r w:rsidRPr="00044E91">
        <w:rPr>
          <w:spacing w:val="-4"/>
        </w:rPr>
        <w:t xml:space="preserve"> </w:t>
      </w:r>
      <w:r w:rsidRPr="00140B9B">
        <w:t>to</w:t>
      </w:r>
      <w:r w:rsidRPr="00044E91">
        <w:rPr>
          <w:spacing w:val="-3"/>
        </w:rPr>
        <w:t xml:space="preserve"> </w:t>
      </w:r>
      <w:r w:rsidRPr="00140B9B">
        <w:t>r</w:t>
      </w:r>
      <w:r>
        <w:t>ecord</w:t>
      </w:r>
      <w:r w:rsidRPr="00044E91">
        <w:rPr>
          <w:spacing w:val="-8"/>
        </w:rPr>
        <w:t xml:space="preserve"> </w:t>
      </w:r>
      <w:r w:rsidRPr="00140B9B">
        <w:t>suspected</w:t>
      </w:r>
      <w:r w:rsidRPr="00044E91">
        <w:rPr>
          <w:spacing w:val="-8"/>
        </w:rPr>
        <w:t xml:space="preserve"> </w:t>
      </w:r>
      <w:r w:rsidRPr="00140B9B">
        <w:t>adverse</w:t>
      </w:r>
      <w:r w:rsidRPr="00044E91">
        <w:rPr>
          <w:spacing w:val="-7"/>
        </w:rPr>
        <w:t xml:space="preserve"> </w:t>
      </w:r>
      <w:r w:rsidRPr="00140B9B">
        <w:t>drug</w:t>
      </w:r>
      <w:r w:rsidRPr="00044E91">
        <w:rPr>
          <w:spacing w:val="-7"/>
        </w:rPr>
        <w:t xml:space="preserve"> </w:t>
      </w:r>
      <w:r w:rsidRPr="00140B9B">
        <w:t>reactions</w:t>
      </w:r>
      <w:r w:rsidRPr="00044E91">
        <w:rPr>
          <w:spacing w:val="-9"/>
        </w:rPr>
        <w:t xml:space="preserve"> </w:t>
      </w:r>
      <w:r w:rsidRPr="00140B9B">
        <w:t>to</w:t>
      </w:r>
      <w:r w:rsidRPr="00044E91">
        <w:rPr>
          <w:spacing w:val="-7"/>
        </w:rPr>
        <w:t xml:space="preserve"> </w:t>
      </w:r>
      <w:r w:rsidRPr="00140B9B">
        <w:t>the</w:t>
      </w:r>
      <w:r w:rsidRPr="00044E91">
        <w:rPr>
          <w:spacing w:val="-10"/>
        </w:rPr>
        <w:t xml:space="preserve"> </w:t>
      </w:r>
      <w:hyperlink r:id="rId31">
        <w:r w:rsidRPr="08FE600F">
          <w:rPr>
            <w:color w:val="0070C0"/>
            <w:u w:val="single"/>
          </w:rPr>
          <w:t>Yellow</w:t>
        </w:r>
        <w:r w:rsidRPr="08FE600F">
          <w:rPr>
            <w:color w:val="0070C0"/>
            <w:spacing w:val="-6"/>
            <w:u w:val="single"/>
          </w:rPr>
          <w:t xml:space="preserve"> </w:t>
        </w:r>
        <w:r w:rsidRPr="08FE600F">
          <w:rPr>
            <w:color w:val="0070C0"/>
            <w:u w:val="single"/>
          </w:rPr>
          <w:t>Card</w:t>
        </w:r>
        <w:r w:rsidRPr="08FE600F">
          <w:rPr>
            <w:color w:val="0070C0"/>
            <w:spacing w:val="-3"/>
            <w:u w:val="single"/>
          </w:rPr>
          <w:t xml:space="preserve"> </w:t>
        </w:r>
        <w:r w:rsidRPr="08FE600F">
          <w:rPr>
            <w:color w:val="0070C0"/>
            <w:spacing w:val="-2"/>
            <w:u w:val="single"/>
          </w:rPr>
          <w:t>scheme</w:t>
        </w:r>
      </w:hyperlink>
      <w:r w:rsidRPr="08FE600F">
        <w:rPr>
          <w:color w:val="0070C0"/>
          <w:spacing w:val="-2"/>
        </w:rPr>
        <w:t>.</w:t>
      </w:r>
    </w:p>
    <w:p w14:paraId="19CCD30F" w14:textId="3F8918B6" w:rsidR="00CD70DD" w:rsidRDefault="00CD70DD" w:rsidP="00295736">
      <w:pPr>
        <w:spacing w:after="75"/>
      </w:pPr>
      <w:r w:rsidRPr="00044E91">
        <w:rPr>
          <w:spacing w:val="-2"/>
        </w:rPr>
        <w:t xml:space="preserve">Please continue to </w:t>
      </w:r>
      <w:r w:rsidR="00295736" w:rsidRPr="00044E91">
        <w:rPr>
          <w:spacing w:val="-2"/>
        </w:rPr>
        <w:t>re</w:t>
      </w:r>
      <w:r w:rsidR="00295736">
        <w:rPr>
          <w:spacing w:val="-2"/>
        </w:rPr>
        <w:t xml:space="preserve">cord </w:t>
      </w:r>
      <w:r w:rsidR="00295736" w:rsidRPr="00044E91">
        <w:rPr>
          <w:spacing w:val="-2"/>
        </w:rPr>
        <w:t>medicine</w:t>
      </w:r>
      <w:r w:rsidRPr="00044E91">
        <w:rPr>
          <w:spacing w:val="-2"/>
        </w:rPr>
        <w:t xml:space="preserve"> </w:t>
      </w:r>
      <w:r>
        <w:rPr>
          <w:spacing w:val="-2"/>
        </w:rPr>
        <w:t xml:space="preserve">patient </w:t>
      </w:r>
      <w:r w:rsidRPr="00044E91">
        <w:rPr>
          <w:spacing w:val="-2"/>
        </w:rPr>
        <w:t xml:space="preserve">safety incidents to </w:t>
      </w:r>
      <w:hyperlink r:id="rId32" w:history="1">
        <w:r w:rsidRPr="00044E91">
          <w:rPr>
            <w:rStyle w:val="Hyperlink"/>
            <w:spacing w:val="-2"/>
          </w:rPr>
          <w:t>Learning From Patient Safety Events</w:t>
        </w:r>
      </w:hyperlink>
      <w:r w:rsidR="00420F57">
        <w:t>.</w:t>
      </w:r>
    </w:p>
    <w:p w14:paraId="6B876888" w14:textId="77777777" w:rsidR="00420F57" w:rsidRDefault="00420F57" w:rsidP="00295736">
      <w:pPr>
        <w:spacing w:after="75"/>
      </w:pPr>
    </w:p>
    <w:p w14:paraId="508D6C8E" w14:textId="77777777" w:rsidR="00420F57" w:rsidRPr="002F4174" w:rsidRDefault="00420F57" w:rsidP="00420F57">
      <w:pPr>
        <w:rPr>
          <w:b/>
          <w:bCs/>
          <w:sz w:val="16"/>
          <w:szCs w:val="16"/>
        </w:rPr>
      </w:pPr>
      <w:r w:rsidRPr="002F4174">
        <w:rPr>
          <w:b/>
          <w:bCs/>
          <w:sz w:val="16"/>
          <w:szCs w:val="16"/>
        </w:rPr>
        <w:t xml:space="preserve">References </w:t>
      </w:r>
    </w:p>
    <w:p w14:paraId="5C8A527C" w14:textId="77777777" w:rsidR="00420F57" w:rsidRPr="002F4174" w:rsidRDefault="00420F57" w:rsidP="00420F57">
      <w:pPr>
        <w:pStyle w:val="ListParagraph"/>
        <w:numPr>
          <w:ilvl w:val="0"/>
          <w:numId w:val="23"/>
        </w:numPr>
        <w:rPr>
          <w:sz w:val="16"/>
          <w:szCs w:val="16"/>
        </w:rPr>
      </w:pPr>
      <w:r w:rsidRPr="002F4174">
        <w:rPr>
          <w:sz w:val="16"/>
          <w:szCs w:val="16"/>
        </w:rPr>
        <w:t xml:space="preserve">National Patient Safety Alert </w:t>
      </w:r>
      <w:hyperlink r:id="rId33" w:history="1">
        <w:r w:rsidRPr="002F4174">
          <w:rPr>
            <w:rStyle w:val="Hyperlink"/>
            <w:sz w:val="16"/>
            <w:szCs w:val="16"/>
          </w:rPr>
          <w:t>Shortage of Pancreatic enzyme replacement therapy (PERT) Additional actions Reference Number: (</w:t>
        </w:r>
        <w:proofErr w:type="spellStart"/>
        <w:r w:rsidRPr="002F4174">
          <w:rPr>
            <w:rStyle w:val="Hyperlink"/>
            <w:sz w:val="16"/>
            <w:szCs w:val="16"/>
          </w:rPr>
          <w:t>NatPSA</w:t>
        </w:r>
        <w:proofErr w:type="spellEnd"/>
        <w:r w:rsidRPr="002F4174">
          <w:rPr>
            <w:rStyle w:val="Hyperlink"/>
            <w:sz w:val="16"/>
            <w:szCs w:val="16"/>
          </w:rPr>
          <w:t>/2024/013/DHSC)</w:t>
        </w:r>
      </w:hyperlink>
    </w:p>
    <w:p w14:paraId="418B4327" w14:textId="77777777" w:rsidR="00420F57" w:rsidRPr="002F4174" w:rsidRDefault="00420F57" w:rsidP="00420F57">
      <w:pPr>
        <w:pStyle w:val="ListParagraph"/>
        <w:numPr>
          <w:ilvl w:val="0"/>
          <w:numId w:val="23"/>
        </w:numPr>
        <w:rPr>
          <w:sz w:val="16"/>
          <w:szCs w:val="16"/>
        </w:rPr>
      </w:pPr>
      <w:r w:rsidRPr="002F4174">
        <w:rPr>
          <w:sz w:val="16"/>
          <w:szCs w:val="16"/>
        </w:rPr>
        <w:t xml:space="preserve">National Patient Safety Alert </w:t>
      </w:r>
      <w:hyperlink r:id="rId34" w:history="1">
        <w:r w:rsidRPr="002F4174">
          <w:rPr>
            <w:rStyle w:val="Hyperlink"/>
            <w:sz w:val="16"/>
            <w:szCs w:val="16"/>
          </w:rPr>
          <w:t xml:space="preserve">Shortage of Pancreatic enzyme replacement therapy (PERT) Reference Number: </w:t>
        </w:r>
        <w:proofErr w:type="spellStart"/>
        <w:r w:rsidRPr="002F4174">
          <w:rPr>
            <w:rStyle w:val="Hyperlink"/>
            <w:sz w:val="16"/>
            <w:szCs w:val="16"/>
          </w:rPr>
          <w:t>NatPSA</w:t>
        </w:r>
        <w:proofErr w:type="spellEnd"/>
        <w:r w:rsidRPr="002F4174">
          <w:rPr>
            <w:rStyle w:val="Hyperlink"/>
            <w:sz w:val="16"/>
            <w:szCs w:val="16"/>
          </w:rPr>
          <w:t>/2024/007/DHSC)</w:t>
        </w:r>
      </w:hyperlink>
      <w:r w:rsidRPr="002F4174">
        <w:rPr>
          <w:color w:val="0070C0"/>
          <w:sz w:val="16"/>
          <w:szCs w:val="16"/>
        </w:rPr>
        <w:t xml:space="preserve"> </w:t>
      </w:r>
    </w:p>
    <w:p w14:paraId="169BFC6C" w14:textId="77777777" w:rsidR="00420F57" w:rsidRPr="002F4174" w:rsidRDefault="00420F57" w:rsidP="00420F57">
      <w:pPr>
        <w:pStyle w:val="ListParagraph"/>
        <w:numPr>
          <w:ilvl w:val="0"/>
          <w:numId w:val="23"/>
        </w:numPr>
        <w:rPr>
          <w:sz w:val="16"/>
          <w:szCs w:val="16"/>
        </w:rPr>
      </w:pPr>
      <w:r w:rsidRPr="002F4174">
        <w:rPr>
          <w:sz w:val="16"/>
          <w:szCs w:val="16"/>
        </w:rPr>
        <w:t xml:space="preserve">Specialist Pharmacy Service Medicines Supply Tool </w:t>
      </w:r>
      <w:hyperlink r:id="rId35" w:history="1">
        <w:r w:rsidRPr="002F4174">
          <w:rPr>
            <w:rStyle w:val="Hyperlink"/>
            <w:sz w:val="16"/>
            <w:szCs w:val="16"/>
          </w:rPr>
          <w:t>https://www.sps.nhs.uk/home/tools/medicines-supply-tool/</w:t>
        </w:r>
      </w:hyperlink>
      <w:r w:rsidRPr="002F4174">
        <w:rPr>
          <w:sz w:val="16"/>
          <w:szCs w:val="16"/>
        </w:rPr>
        <w:t xml:space="preserve"> (accessed 25/01/2025)</w:t>
      </w:r>
    </w:p>
    <w:p w14:paraId="792F791F" w14:textId="77777777" w:rsidR="00420F57" w:rsidRPr="002F4174" w:rsidRDefault="00420F57" w:rsidP="00420F57">
      <w:pPr>
        <w:pStyle w:val="ListParagraph"/>
        <w:numPr>
          <w:ilvl w:val="0"/>
          <w:numId w:val="23"/>
        </w:numPr>
        <w:rPr>
          <w:sz w:val="16"/>
          <w:szCs w:val="16"/>
        </w:rPr>
      </w:pPr>
      <w:r w:rsidRPr="002F4174">
        <w:rPr>
          <w:sz w:val="16"/>
          <w:szCs w:val="16"/>
        </w:rPr>
        <w:t xml:space="preserve">Correspondence from Oxford Pharmacy Stores </w:t>
      </w:r>
      <w:hyperlink r:id="rId36" w:history="1">
        <w:r w:rsidRPr="002F4174">
          <w:rPr>
            <w:rStyle w:val="Hyperlink"/>
            <w:sz w:val="16"/>
            <w:szCs w:val="16"/>
          </w:rPr>
          <w:t>https://oxfordpharmacystore.co.uk/</w:t>
        </w:r>
      </w:hyperlink>
      <w:r w:rsidRPr="002F4174">
        <w:rPr>
          <w:sz w:val="16"/>
          <w:szCs w:val="16"/>
        </w:rPr>
        <w:t xml:space="preserve"> </w:t>
      </w:r>
    </w:p>
    <w:p w14:paraId="2D469BD0" w14:textId="77777777" w:rsidR="00420F57" w:rsidRPr="002F4174" w:rsidRDefault="00420F57" w:rsidP="00420F57">
      <w:pPr>
        <w:pStyle w:val="ListParagraph"/>
        <w:numPr>
          <w:ilvl w:val="0"/>
          <w:numId w:val="23"/>
        </w:numPr>
        <w:rPr>
          <w:sz w:val="16"/>
          <w:szCs w:val="16"/>
        </w:rPr>
      </w:pPr>
      <w:r w:rsidRPr="002F4174">
        <w:rPr>
          <w:sz w:val="16"/>
          <w:szCs w:val="16"/>
        </w:rPr>
        <w:t xml:space="preserve">NHS Business Services Agency Serious Shurtage Protocols </w:t>
      </w:r>
      <w:hyperlink r:id="rId37" w:history="1">
        <w:r w:rsidRPr="002F4174">
          <w:rPr>
            <w:rStyle w:val="Hyperlink"/>
            <w:sz w:val="16"/>
            <w:szCs w:val="16"/>
          </w:rPr>
          <w:t>https://www.nhsbsa.nhs.uk/pharmacies-gp-practices-and-appliance-contractors/serious-shortage-protocols-ssps</w:t>
        </w:r>
      </w:hyperlink>
      <w:r w:rsidRPr="002F4174">
        <w:rPr>
          <w:sz w:val="16"/>
          <w:szCs w:val="16"/>
        </w:rPr>
        <w:t xml:space="preserve"> </w:t>
      </w:r>
    </w:p>
    <w:p w14:paraId="08D456A7" w14:textId="77777777" w:rsidR="00420F57" w:rsidRPr="002F4174" w:rsidRDefault="00420F57" w:rsidP="00420F57">
      <w:pPr>
        <w:pStyle w:val="ListParagraph"/>
        <w:numPr>
          <w:ilvl w:val="0"/>
          <w:numId w:val="23"/>
        </w:numPr>
        <w:rPr>
          <w:sz w:val="16"/>
          <w:szCs w:val="16"/>
        </w:rPr>
      </w:pPr>
      <w:r w:rsidRPr="002F4174">
        <w:rPr>
          <w:sz w:val="16"/>
          <w:szCs w:val="16"/>
        </w:rPr>
        <w:t xml:space="preserve">Nutrition Interest Group of the Pancreatic Society of Great Britain and Ireland (NIGPS), Cystic Fibrosis Specialist Group and Gastroenterology Specialist Group, British Dietetic Association (17/11/24) </w:t>
      </w:r>
      <w:hyperlink r:id="rId38" w:history="1">
        <w:r w:rsidRPr="002F4174">
          <w:rPr>
            <w:rStyle w:val="Hyperlink"/>
            <w:sz w:val="16"/>
            <w:szCs w:val="16"/>
          </w:rPr>
          <w:t>https://www.psgbi.org/position-statement-pert-shortage/</w:t>
        </w:r>
      </w:hyperlink>
      <w:r w:rsidRPr="002F4174">
        <w:rPr>
          <w:sz w:val="16"/>
          <w:szCs w:val="16"/>
        </w:rPr>
        <w:t xml:space="preserve"> (accessed 28/01/25)</w:t>
      </w:r>
    </w:p>
    <w:p w14:paraId="550D0136" w14:textId="77777777" w:rsidR="00420F57" w:rsidRPr="002F4174" w:rsidRDefault="00420F57" w:rsidP="00420F57">
      <w:pPr>
        <w:pStyle w:val="ListParagraph"/>
        <w:numPr>
          <w:ilvl w:val="0"/>
          <w:numId w:val="23"/>
        </w:numPr>
        <w:rPr>
          <w:sz w:val="16"/>
          <w:szCs w:val="16"/>
        </w:rPr>
      </w:pPr>
      <w:r w:rsidRPr="002F4174">
        <w:rPr>
          <w:sz w:val="16"/>
          <w:szCs w:val="16"/>
        </w:rPr>
        <w:t xml:space="preserve">Neonatal &amp; Paediatric Pharmacists Group Position statement 2024-01 Shortage of Pancreatic Enzyme Replacement Therapy (August 2024). </w:t>
      </w:r>
      <w:hyperlink r:id="rId39" w:history="1">
        <w:r w:rsidRPr="002F4174">
          <w:rPr>
            <w:rStyle w:val="Hyperlink"/>
            <w:sz w:val="16"/>
            <w:szCs w:val="16"/>
          </w:rPr>
          <w:t>https://nppg.org.uk/wp-content/uploads/2024/08/NPPG-Position-Statement-PERT-V1.pdf?UNLID=231770520249542647</w:t>
        </w:r>
      </w:hyperlink>
      <w:r w:rsidRPr="002F4174">
        <w:rPr>
          <w:sz w:val="16"/>
          <w:szCs w:val="16"/>
        </w:rPr>
        <w:t xml:space="preserve"> (accessed 28/01/25)</w:t>
      </w:r>
    </w:p>
    <w:p w14:paraId="6EF44576" w14:textId="77777777" w:rsidR="00420F57" w:rsidRDefault="00420F57" w:rsidP="00420F57">
      <w:pPr>
        <w:pStyle w:val="ListParagraph"/>
        <w:numPr>
          <w:ilvl w:val="0"/>
          <w:numId w:val="23"/>
        </w:numPr>
        <w:rPr>
          <w:sz w:val="16"/>
          <w:szCs w:val="16"/>
        </w:rPr>
      </w:pPr>
      <w:r w:rsidRPr="002F4174">
        <w:rPr>
          <w:sz w:val="16"/>
          <w:szCs w:val="16"/>
        </w:rPr>
        <w:t xml:space="preserve">Community Pharmacy England Supply of Unlicensed PERT preparations (03/02/25) </w:t>
      </w:r>
      <w:hyperlink r:id="rId40" w:history="1">
        <w:r w:rsidRPr="002F4174">
          <w:rPr>
            <w:rStyle w:val="Hyperlink"/>
            <w:sz w:val="16"/>
            <w:szCs w:val="16"/>
          </w:rPr>
          <w:t>https://cpe.org.uk/our-news/supply-of-unlicensed-pert-preparations/</w:t>
        </w:r>
      </w:hyperlink>
      <w:r w:rsidRPr="002F4174">
        <w:rPr>
          <w:sz w:val="16"/>
          <w:szCs w:val="16"/>
        </w:rPr>
        <w:t xml:space="preserve"> (accessed 05/02/25)</w:t>
      </w:r>
    </w:p>
    <w:p w14:paraId="21E30F9F" w14:textId="77777777" w:rsidR="00031006" w:rsidRPr="002561D9" w:rsidRDefault="00031006" w:rsidP="00031006">
      <w:pPr>
        <w:numPr>
          <w:ilvl w:val="0"/>
          <w:numId w:val="23"/>
        </w:numPr>
        <w:rPr>
          <w:rFonts w:ascii="Arial" w:eastAsia="Calibri" w:hAnsi="Arial" w:cs="Arial"/>
          <w:sz w:val="16"/>
          <w:szCs w:val="9"/>
        </w:rPr>
      </w:pPr>
      <w:r w:rsidRPr="002561D9">
        <w:rPr>
          <w:rFonts w:ascii="Arial" w:eastAsia="Calibri" w:hAnsi="Arial" w:cs="Arial"/>
          <w:sz w:val="16"/>
          <w:szCs w:val="9"/>
        </w:rPr>
        <w:t>Pangrol</w:t>
      </w:r>
      <w:r w:rsidRPr="002561D9">
        <w:rPr>
          <w:rFonts w:ascii="Arial" w:eastAsia="Calibri" w:hAnsi="Arial" w:cs="Arial"/>
          <w:sz w:val="16"/>
          <w:szCs w:val="9"/>
          <w:vertAlign w:val="superscript"/>
        </w:rPr>
        <w:t xml:space="preserve">® </w:t>
      </w:r>
      <w:r w:rsidRPr="002561D9">
        <w:rPr>
          <w:rFonts w:ascii="Arial" w:eastAsia="Calibri" w:hAnsi="Arial" w:cs="Arial"/>
          <w:sz w:val="16"/>
          <w:szCs w:val="9"/>
        </w:rPr>
        <w:t xml:space="preserve">10,000 Patient Information Leaflet. Available at: </w:t>
      </w:r>
      <w:hyperlink r:id="rId41" w:history="1">
        <w:r w:rsidRPr="002561D9">
          <w:rPr>
            <w:rFonts w:ascii="Arial" w:eastAsia="Calibri" w:hAnsi="Arial" w:cs="Arial"/>
            <w:color w:val="0563C1"/>
            <w:sz w:val="16"/>
            <w:szCs w:val="9"/>
            <w:u w:val="single"/>
          </w:rPr>
          <w:t>https://cpsc.org.uk/download_file/view/4869/3285. Accessed on 06/02/25</w:t>
        </w:r>
      </w:hyperlink>
    </w:p>
    <w:p w14:paraId="1EDB1AAF" w14:textId="292BA6B1" w:rsidR="00031006" w:rsidRPr="002561D9" w:rsidRDefault="00031006" w:rsidP="00031006">
      <w:pPr>
        <w:numPr>
          <w:ilvl w:val="0"/>
          <w:numId w:val="23"/>
        </w:numPr>
        <w:rPr>
          <w:rFonts w:ascii="Arial" w:eastAsia="Calibri" w:hAnsi="Arial" w:cs="Arial"/>
          <w:sz w:val="16"/>
          <w:szCs w:val="9"/>
        </w:rPr>
      </w:pPr>
      <w:r w:rsidRPr="002561D9">
        <w:rPr>
          <w:rFonts w:ascii="Arial" w:eastAsia="Calibri" w:hAnsi="Arial" w:cs="Arial"/>
          <w:sz w:val="16"/>
          <w:szCs w:val="9"/>
        </w:rPr>
        <w:t>Electronic medicines compendium: Creon 10,000</w:t>
      </w:r>
      <w:r w:rsidRPr="002561D9">
        <w:rPr>
          <w:rFonts w:ascii="Arial" w:eastAsia="Calibri" w:hAnsi="Arial" w:cs="Arial"/>
          <w:sz w:val="16"/>
          <w:szCs w:val="9"/>
          <w:vertAlign w:val="superscript"/>
        </w:rPr>
        <w:t xml:space="preserve">® </w:t>
      </w:r>
      <w:r w:rsidRPr="002561D9">
        <w:rPr>
          <w:rFonts w:ascii="Arial" w:eastAsia="Calibri" w:hAnsi="Arial" w:cs="Arial"/>
          <w:sz w:val="16"/>
          <w:szCs w:val="9"/>
        </w:rPr>
        <w:t xml:space="preserve">Capsules Patient Information Leaflet. Available at </w:t>
      </w:r>
      <w:hyperlink r:id="rId42" w:history="1">
        <w:r w:rsidRPr="002561D9">
          <w:rPr>
            <w:rFonts w:ascii="Arial" w:eastAsia="Calibri" w:hAnsi="Arial" w:cs="Arial"/>
            <w:color w:val="0563C1"/>
            <w:sz w:val="16"/>
            <w:szCs w:val="9"/>
            <w:u w:val="single"/>
          </w:rPr>
          <w:t>https://www.medicines.org.uk/emc/product/1167/pil</w:t>
        </w:r>
      </w:hyperlink>
      <w:r w:rsidRPr="002561D9">
        <w:rPr>
          <w:rFonts w:ascii="Arial" w:eastAsia="Calibri" w:hAnsi="Arial" w:cs="Arial"/>
          <w:sz w:val="16"/>
          <w:szCs w:val="9"/>
        </w:rPr>
        <w:t xml:space="preserve">. </w:t>
      </w:r>
      <w:r w:rsidR="000B1A22">
        <w:rPr>
          <w:rFonts w:ascii="Arial" w:eastAsia="Calibri" w:hAnsi="Arial" w:cs="Arial"/>
          <w:sz w:val="16"/>
          <w:szCs w:val="9"/>
        </w:rPr>
        <w:t>(a</w:t>
      </w:r>
      <w:r w:rsidRPr="002561D9">
        <w:rPr>
          <w:rFonts w:ascii="Arial" w:eastAsia="Calibri" w:hAnsi="Arial" w:cs="Arial"/>
          <w:sz w:val="16"/>
          <w:szCs w:val="9"/>
        </w:rPr>
        <w:t>ccessed on 06/02/25</w:t>
      </w:r>
      <w:r w:rsidR="000B1A22">
        <w:rPr>
          <w:rFonts w:ascii="Arial" w:eastAsia="Calibri" w:hAnsi="Arial" w:cs="Arial"/>
          <w:sz w:val="16"/>
          <w:szCs w:val="9"/>
        </w:rPr>
        <w:t>)</w:t>
      </w:r>
      <w:r w:rsidRPr="002561D9">
        <w:rPr>
          <w:rFonts w:ascii="Arial" w:eastAsia="Calibri" w:hAnsi="Arial" w:cs="Arial"/>
          <w:sz w:val="16"/>
          <w:szCs w:val="9"/>
        </w:rPr>
        <w:t xml:space="preserve"> </w:t>
      </w:r>
    </w:p>
    <w:p w14:paraId="33215C6A" w14:textId="77777777" w:rsidR="00031006" w:rsidRPr="002F4174" w:rsidRDefault="00031006" w:rsidP="00031006">
      <w:pPr>
        <w:pStyle w:val="ListParagraph"/>
        <w:numPr>
          <w:ilvl w:val="0"/>
          <w:numId w:val="0"/>
        </w:numPr>
        <w:ind w:left="720"/>
        <w:rPr>
          <w:sz w:val="16"/>
          <w:szCs w:val="16"/>
        </w:rPr>
      </w:pPr>
    </w:p>
    <w:p w14:paraId="657B9198" w14:textId="77777777" w:rsidR="00420F57" w:rsidRPr="00420F57" w:rsidRDefault="00420F57" w:rsidP="00295736">
      <w:pPr>
        <w:spacing w:after="75"/>
        <w:rPr>
          <w:b/>
          <w:bCs/>
        </w:rPr>
      </w:pPr>
    </w:p>
    <w:sectPr w:rsidR="00420F57" w:rsidRPr="00420F57" w:rsidSect="006F2CCF">
      <w:headerReference w:type="default" r:id="rId43"/>
      <w:footerReference w:type="even" r:id="rId44"/>
      <w:footerReference w:type="default" r:id="rId45"/>
      <w:headerReference w:type="first" r:id="rId46"/>
      <w:footerReference w:type="first" r:id="rId47"/>
      <w:pgSz w:w="11900" w:h="16840"/>
      <w:pgMar w:top="720" w:right="720" w:bottom="720" w:left="720" w:header="83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E8E9F" w14:textId="77777777" w:rsidR="003F4EB5" w:rsidRDefault="003F4EB5" w:rsidP="00255A71">
      <w:r>
        <w:separator/>
      </w:r>
    </w:p>
  </w:endnote>
  <w:endnote w:type="continuationSeparator" w:id="0">
    <w:p w14:paraId="788D9088" w14:textId="77777777" w:rsidR="003F4EB5" w:rsidRDefault="003F4EB5" w:rsidP="00255A71">
      <w:r>
        <w:continuationSeparator/>
      </w:r>
    </w:p>
  </w:endnote>
  <w:endnote w:type="continuationNotice" w:id="1">
    <w:p w14:paraId="026E9E76" w14:textId="77777777" w:rsidR="003F4EB5" w:rsidRDefault="003F4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Times New Roman (Headings CS)">
    <w:altName w:val="Times New Roman"/>
    <w:panose1 w:val="00000000000000000000"/>
    <w:charset w:val="00"/>
    <w:family w:val="roman"/>
    <w:notTrueType/>
    <w:pitch w:val="default"/>
  </w:font>
  <w:font w:name="Frutiger">
    <w:altName w:val="Frutiger"/>
    <w:charset w:val="00"/>
    <w:family w:val="swiss"/>
    <w:pitch w:val="variable"/>
    <w:sig w:usb0="80000027" w:usb1="00000000" w:usb2="00000000" w:usb3="00000000" w:csb0="00000001"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9218926"/>
      <w:docPartObj>
        <w:docPartGallery w:val="Page Numbers (Bottom of Page)"/>
        <w:docPartUnique/>
      </w:docPartObj>
    </w:sdtPr>
    <w:sdtContent>
      <w:p w14:paraId="0226865B" w14:textId="0260486E" w:rsidR="00392211" w:rsidRDefault="00392211" w:rsidP="00EB71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E25405" w14:textId="77777777" w:rsidR="00392211" w:rsidRDefault="00392211" w:rsidP="0039221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FFFFFF" w:themeColor="background1"/>
      </w:rPr>
      <w:id w:val="256180135"/>
      <w:docPartObj>
        <w:docPartGallery w:val="Page Numbers (Bottom of Page)"/>
        <w:docPartUnique/>
      </w:docPartObj>
    </w:sdtPr>
    <w:sdtEndPr>
      <w:rPr>
        <w:rStyle w:val="PageNumber"/>
        <w:color w:val="FFFFFF" w:themeColor="background2"/>
      </w:rPr>
    </w:sdtEndPr>
    <w:sdtContent>
      <w:p w14:paraId="7F7021FE" w14:textId="561634B2" w:rsidR="00EB7186" w:rsidRPr="00EB7186" w:rsidRDefault="00EB7186" w:rsidP="00EB7186">
        <w:pPr>
          <w:pStyle w:val="Footer"/>
          <w:framePr w:wrap="none" w:vAnchor="text" w:hAnchor="page" w:x="5935" w:y="588"/>
          <w:jc w:val="center"/>
          <w:rPr>
            <w:rStyle w:val="PageNumber"/>
            <w:color w:val="FFFFFF" w:themeColor="background1"/>
          </w:rPr>
        </w:pPr>
        <w:r w:rsidRPr="00EB7186">
          <w:rPr>
            <w:rStyle w:val="PageNumber"/>
            <w:color w:val="FFFFFF" w:themeColor="background1"/>
            <w:sz w:val="18"/>
            <w:szCs w:val="18"/>
          </w:rPr>
          <w:fldChar w:fldCharType="begin"/>
        </w:r>
        <w:r w:rsidRPr="00EB7186">
          <w:rPr>
            <w:rStyle w:val="PageNumber"/>
            <w:color w:val="FFFFFF" w:themeColor="background1"/>
            <w:sz w:val="18"/>
            <w:szCs w:val="18"/>
          </w:rPr>
          <w:instrText xml:space="preserve"> PAGE </w:instrText>
        </w:r>
        <w:r w:rsidRPr="00EB7186">
          <w:rPr>
            <w:rStyle w:val="PageNumber"/>
            <w:color w:val="FFFFFF" w:themeColor="background1"/>
            <w:sz w:val="18"/>
            <w:szCs w:val="18"/>
          </w:rPr>
          <w:fldChar w:fldCharType="separate"/>
        </w:r>
        <w:r w:rsidR="00583290">
          <w:rPr>
            <w:rStyle w:val="PageNumber"/>
            <w:noProof/>
            <w:color w:val="FFFFFF" w:themeColor="background1"/>
            <w:sz w:val="18"/>
            <w:szCs w:val="18"/>
          </w:rPr>
          <w:t>2</w:t>
        </w:r>
        <w:r w:rsidRPr="00EB7186">
          <w:rPr>
            <w:rStyle w:val="PageNumber"/>
            <w:color w:val="FFFFFF" w:themeColor="background1"/>
            <w:sz w:val="18"/>
            <w:szCs w:val="18"/>
          </w:rPr>
          <w:fldChar w:fldCharType="end"/>
        </w:r>
      </w:p>
    </w:sdtContent>
  </w:sdt>
  <w:p w14:paraId="71A80B35" w14:textId="77777777" w:rsidR="00392211" w:rsidRPr="00294C57" w:rsidRDefault="00392211" w:rsidP="00392211">
    <w:pPr>
      <w:pStyle w:val="Footer"/>
      <w:ind w:firstLine="360"/>
      <w:rPr>
        <w:color w:val="D70B8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FFFFFF" w:themeColor="background1"/>
      </w:rPr>
      <w:id w:val="1840199870"/>
      <w:docPartObj>
        <w:docPartGallery w:val="Page Numbers (Bottom of Page)"/>
        <w:docPartUnique/>
      </w:docPartObj>
    </w:sdtPr>
    <w:sdtEndPr>
      <w:rPr>
        <w:rStyle w:val="PageNumber"/>
        <w:color w:val="FFFFFF" w:themeColor="background2"/>
      </w:rPr>
    </w:sdtEndPr>
    <w:sdtContent>
      <w:p w14:paraId="312C2FDB" w14:textId="5D4B1D8B" w:rsidR="00EB7186" w:rsidRPr="00EB7186" w:rsidRDefault="00EB7186" w:rsidP="00EB7186">
        <w:pPr>
          <w:pStyle w:val="Footer"/>
          <w:framePr w:wrap="none" w:vAnchor="text" w:hAnchor="page" w:x="5919" w:y="598"/>
          <w:jc w:val="center"/>
          <w:rPr>
            <w:rStyle w:val="PageNumber"/>
            <w:color w:val="FFFFFF" w:themeColor="background1"/>
          </w:rPr>
        </w:pPr>
        <w:r w:rsidRPr="00EB7186">
          <w:rPr>
            <w:rStyle w:val="PageNumber"/>
            <w:color w:val="FFFFFF" w:themeColor="background1"/>
            <w:sz w:val="18"/>
            <w:szCs w:val="18"/>
          </w:rPr>
          <w:fldChar w:fldCharType="begin"/>
        </w:r>
        <w:r w:rsidRPr="00EB7186">
          <w:rPr>
            <w:rStyle w:val="PageNumber"/>
            <w:color w:val="FFFFFF" w:themeColor="background1"/>
            <w:sz w:val="18"/>
            <w:szCs w:val="18"/>
          </w:rPr>
          <w:instrText xml:space="preserve"> PAGE </w:instrText>
        </w:r>
        <w:r w:rsidRPr="00EB7186">
          <w:rPr>
            <w:rStyle w:val="PageNumber"/>
            <w:color w:val="FFFFFF" w:themeColor="background1"/>
            <w:sz w:val="18"/>
            <w:szCs w:val="18"/>
          </w:rPr>
          <w:fldChar w:fldCharType="separate"/>
        </w:r>
        <w:r w:rsidR="00747D55">
          <w:rPr>
            <w:rStyle w:val="PageNumber"/>
            <w:noProof/>
            <w:color w:val="FFFFFF" w:themeColor="background1"/>
            <w:sz w:val="18"/>
            <w:szCs w:val="18"/>
          </w:rPr>
          <w:t>1</w:t>
        </w:r>
        <w:r w:rsidRPr="00EB7186">
          <w:rPr>
            <w:rStyle w:val="PageNumber"/>
            <w:color w:val="FFFFFF" w:themeColor="background1"/>
            <w:sz w:val="18"/>
            <w:szCs w:val="18"/>
          </w:rPr>
          <w:fldChar w:fldCharType="end"/>
        </w:r>
      </w:p>
    </w:sdtContent>
  </w:sdt>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8"/>
      <w:gridCol w:w="3447"/>
      <w:gridCol w:w="2433"/>
      <w:gridCol w:w="2436"/>
    </w:tblGrid>
    <w:tr w:rsidR="0080639A" w:rsidRPr="00B7022E" w14:paraId="31381F34" w14:textId="77777777" w:rsidTr="0012704D">
      <w:trPr>
        <w:trHeight w:val="65"/>
      </w:trPr>
      <w:tc>
        <w:tcPr>
          <w:tcW w:w="1019" w:type="pct"/>
          <w:tcBorders>
            <w:top w:val="single" w:sz="6" w:space="0" w:color="auto"/>
            <w:left w:val="single" w:sz="6" w:space="0" w:color="auto"/>
            <w:bottom w:val="single" w:sz="6" w:space="0" w:color="auto"/>
            <w:right w:val="single" w:sz="6" w:space="0" w:color="auto"/>
          </w:tcBorders>
          <w:shd w:val="clear" w:color="auto" w:fill="auto"/>
          <w:hideMark/>
        </w:tcPr>
        <w:p w14:paraId="044041B3" w14:textId="77777777" w:rsidR="0080639A" w:rsidRPr="00B7022E" w:rsidRDefault="0080639A" w:rsidP="006F2CCF">
          <w:pPr>
            <w:rPr>
              <w:sz w:val="16"/>
              <w:szCs w:val="16"/>
            </w:rPr>
          </w:pPr>
          <w:bookmarkStart w:id="0" w:name="_Hlk180490870"/>
          <w:r w:rsidRPr="00B7022E">
            <w:rPr>
              <w:b/>
              <w:bCs/>
              <w:sz w:val="16"/>
              <w:szCs w:val="16"/>
            </w:rPr>
            <w:t>Title</w:t>
          </w:r>
          <w:r w:rsidRPr="00B7022E">
            <w:rPr>
              <w:sz w:val="16"/>
              <w:szCs w:val="16"/>
            </w:rPr>
            <w:t> </w:t>
          </w:r>
        </w:p>
      </w:tc>
      <w:tc>
        <w:tcPr>
          <w:tcW w:w="3981" w:type="pct"/>
          <w:gridSpan w:val="3"/>
          <w:tcBorders>
            <w:top w:val="single" w:sz="6" w:space="0" w:color="auto"/>
            <w:left w:val="single" w:sz="6" w:space="0" w:color="auto"/>
            <w:bottom w:val="single" w:sz="6" w:space="0" w:color="auto"/>
            <w:right w:val="single" w:sz="6" w:space="0" w:color="auto"/>
          </w:tcBorders>
          <w:shd w:val="clear" w:color="auto" w:fill="auto"/>
          <w:hideMark/>
        </w:tcPr>
        <w:p w14:paraId="0303509C" w14:textId="24A8305D" w:rsidR="0080639A" w:rsidRPr="001A1275" w:rsidRDefault="22EC85A2" w:rsidP="006F2CCF">
          <w:pPr>
            <w:rPr>
              <w:sz w:val="16"/>
              <w:szCs w:val="16"/>
            </w:rPr>
          </w:pPr>
          <w:r w:rsidRPr="22EC85A2">
            <w:rPr>
              <w:sz w:val="16"/>
              <w:szCs w:val="16"/>
            </w:rPr>
            <w:t>Guidance note for managing Pancreatic Enzyme Replacement Therapy Supply - Whole System v 1.0</w:t>
          </w:r>
        </w:p>
      </w:tc>
    </w:tr>
    <w:tr w:rsidR="006F2CCF" w:rsidRPr="00B7022E" w14:paraId="659B6B41" w14:textId="77777777" w:rsidTr="22EC85A2">
      <w:trPr>
        <w:trHeight w:val="65"/>
      </w:trPr>
      <w:tc>
        <w:tcPr>
          <w:tcW w:w="1019" w:type="pct"/>
          <w:tcBorders>
            <w:top w:val="single" w:sz="6" w:space="0" w:color="auto"/>
            <w:left w:val="single" w:sz="6" w:space="0" w:color="auto"/>
            <w:bottom w:val="single" w:sz="6" w:space="0" w:color="auto"/>
            <w:right w:val="single" w:sz="6" w:space="0" w:color="auto"/>
          </w:tcBorders>
          <w:shd w:val="clear" w:color="auto" w:fill="auto"/>
          <w:hideMark/>
        </w:tcPr>
        <w:p w14:paraId="5111E003" w14:textId="77777777" w:rsidR="006F2CCF" w:rsidRPr="00B7022E" w:rsidRDefault="006F2CCF" w:rsidP="006F2CCF">
          <w:pPr>
            <w:rPr>
              <w:sz w:val="16"/>
              <w:szCs w:val="16"/>
            </w:rPr>
          </w:pPr>
          <w:r w:rsidRPr="00B7022E">
            <w:rPr>
              <w:b/>
              <w:bCs/>
              <w:sz w:val="16"/>
              <w:szCs w:val="16"/>
            </w:rPr>
            <w:t>Authors</w:t>
          </w:r>
          <w:r w:rsidRPr="00B7022E">
            <w:rPr>
              <w:sz w:val="16"/>
              <w:szCs w:val="16"/>
            </w:rPr>
            <w:t> </w:t>
          </w:r>
        </w:p>
      </w:tc>
      <w:tc>
        <w:tcPr>
          <w:tcW w:w="3981" w:type="pct"/>
          <w:gridSpan w:val="3"/>
          <w:tcBorders>
            <w:top w:val="single" w:sz="6" w:space="0" w:color="auto"/>
            <w:left w:val="single" w:sz="6" w:space="0" w:color="auto"/>
            <w:bottom w:val="single" w:sz="6" w:space="0" w:color="auto"/>
            <w:right w:val="single" w:sz="6" w:space="0" w:color="auto"/>
          </w:tcBorders>
          <w:shd w:val="clear" w:color="auto" w:fill="auto"/>
          <w:hideMark/>
        </w:tcPr>
        <w:p w14:paraId="35CBC6EE" w14:textId="77777777" w:rsidR="006F2CCF" w:rsidRPr="00B7022E" w:rsidRDefault="006F2CCF" w:rsidP="006F2CCF">
          <w:pPr>
            <w:rPr>
              <w:sz w:val="16"/>
              <w:szCs w:val="16"/>
            </w:rPr>
          </w:pPr>
          <w:r>
            <w:rPr>
              <w:sz w:val="16"/>
              <w:szCs w:val="16"/>
            </w:rPr>
            <w:t>Natasha Callender, Head of Medicines Optimisation – Safety, Quality and Governance, NEL ICB</w:t>
          </w:r>
        </w:p>
      </w:tc>
    </w:tr>
    <w:tr w:rsidR="006F2CCF" w:rsidRPr="00B7022E" w14:paraId="3DFEC116" w14:textId="77777777" w:rsidTr="22EC85A2">
      <w:trPr>
        <w:trHeight w:val="300"/>
      </w:trPr>
      <w:tc>
        <w:tcPr>
          <w:tcW w:w="1019" w:type="pct"/>
          <w:tcBorders>
            <w:top w:val="single" w:sz="6" w:space="0" w:color="auto"/>
            <w:left w:val="single" w:sz="6" w:space="0" w:color="auto"/>
            <w:bottom w:val="single" w:sz="6" w:space="0" w:color="auto"/>
            <w:right w:val="single" w:sz="6" w:space="0" w:color="auto"/>
          </w:tcBorders>
          <w:shd w:val="clear" w:color="auto" w:fill="auto"/>
        </w:tcPr>
        <w:p w14:paraId="166E91CE" w14:textId="77777777" w:rsidR="006F2CCF" w:rsidRPr="00B7022E" w:rsidRDefault="006F2CCF" w:rsidP="006F2CCF">
          <w:pPr>
            <w:rPr>
              <w:b/>
              <w:bCs/>
              <w:sz w:val="16"/>
              <w:szCs w:val="16"/>
            </w:rPr>
          </w:pPr>
          <w:r w:rsidRPr="00B7022E">
            <w:rPr>
              <w:b/>
              <w:bCs/>
              <w:sz w:val="16"/>
              <w:szCs w:val="16"/>
            </w:rPr>
            <w:t>Consulted with</w:t>
          </w:r>
        </w:p>
      </w:tc>
      <w:tc>
        <w:tcPr>
          <w:tcW w:w="3981" w:type="pct"/>
          <w:gridSpan w:val="3"/>
          <w:tcBorders>
            <w:top w:val="single" w:sz="6" w:space="0" w:color="auto"/>
            <w:left w:val="single" w:sz="6" w:space="0" w:color="auto"/>
            <w:bottom w:val="single" w:sz="6" w:space="0" w:color="auto"/>
            <w:right w:val="single" w:sz="6" w:space="0" w:color="auto"/>
          </w:tcBorders>
          <w:shd w:val="clear" w:color="auto" w:fill="auto"/>
        </w:tcPr>
        <w:p w14:paraId="2ADC429C" w14:textId="77777777" w:rsidR="006F2CCF" w:rsidRDefault="006F2CCF" w:rsidP="006F2CCF">
          <w:pPr>
            <w:rPr>
              <w:sz w:val="16"/>
              <w:szCs w:val="16"/>
            </w:rPr>
          </w:pPr>
          <w:r w:rsidRPr="001A1275">
            <w:rPr>
              <w:sz w:val="16"/>
              <w:szCs w:val="16"/>
            </w:rPr>
            <w:t xml:space="preserve">Pharmacy and Medicines Optimisation </w:t>
          </w:r>
          <w:r>
            <w:rPr>
              <w:sz w:val="16"/>
              <w:szCs w:val="16"/>
            </w:rPr>
            <w:t>Team, NEL ICB</w:t>
          </w:r>
        </w:p>
        <w:p w14:paraId="5EF42C0B" w14:textId="77777777" w:rsidR="006F2CCF" w:rsidRDefault="006F2CCF" w:rsidP="006F2CCF">
          <w:pPr>
            <w:rPr>
              <w:sz w:val="16"/>
              <w:szCs w:val="16"/>
            </w:rPr>
          </w:pPr>
          <w:r>
            <w:rPr>
              <w:sz w:val="16"/>
              <w:szCs w:val="16"/>
            </w:rPr>
            <w:t xml:space="preserve">Medicines Safety and Quality Group, NEL ICB </w:t>
          </w:r>
        </w:p>
        <w:p w14:paraId="7C256CA6" w14:textId="77777777" w:rsidR="006F2CCF" w:rsidRDefault="006F2CCF" w:rsidP="006F2CCF">
          <w:pPr>
            <w:rPr>
              <w:sz w:val="16"/>
              <w:szCs w:val="16"/>
            </w:rPr>
          </w:pPr>
          <w:r>
            <w:rPr>
              <w:sz w:val="16"/>
              <w:szCs w:val="16"/>
            </w:rPr>
            <w:t xml:space="preserve">Community Pharmacy NEL </w:t>
          </w:r>
        </w:p>
        <w:p w14:paraId="2F29A343" w14:textId="77777777" w:rsidR="00F24063" w:rsidRPr="00CD50F8" w:rsidRDefault="00F24063" w:rsidP="00F24063">
          <w:pPr>
            <w:rPr>
              <w:sz w:val="16"/>
              <w:szCs w:val="16"/>
            </w:rPr>
          </w:pPr>
          <w:r w:rsidRPr="00CD50F8">
            <w:rPr>
              <w:sz w:val="16"/>
              <w:szCs w:val="16"/>
            </w:rPr>
            <w:t xml:space="preserve">Barts Heath NHS Trust </w:t>
          </w:r>
        </w:p>
        <w:p w14:paraId="6B691F26" w14:textId="77777777" w:rsidR="00F24063" w:rsidRPr="00CD50F8" w:rsidRDefault="00F24063" w:rsidP="00F24063">
          <w:pPr>
            <w:rPr>
              <w:sz w:val="16"/>
              <w:szCs w:val="16"/>
            </w:rPr>
          </w:pPr>
          <w:r w:rsidRPr="00CD50F8">
            <w:rPr>
              <w:sz w:val="16"/>
              <w:szCs w:val="16"/>
            </w:rPr>
            <w:t>Barking, Havering and Redbridge University Hospitals NHS Trust</w:t>
          </w:r>
        </w:p>
        <w:p w14:paraId="584A85E0" w14:textId="3ADCDE87" w:rsidR="00F24063" w:rsidRPr="001A1275" w:rsidRDefault="00F24063" w:rsidP="00F24063">
          <w:pPr>
            <w:rPr>
              <w:sz w:val="16"/>
              <w:szCs w:val="16"/>
            </w:rPr>
          </w:pPr>
          <w:r w:rsidRPr="00CD50F8">
            <w:rPr>
              <w:sz w:val="16"/>
              <w:szCs w:val="16"/>
            </w:rPr>
            <w:t>Homerton Healthcare NHS Foundation Trust</w:t>
          </w:r>
        </w:p>
      </w:tc>
    </w:tr>
    <w:tr w:rsidR="00284E12" w:rsidRPr="00B7022E" w14:paraId="1AE73E02" w14:textId="77777777" w:rsidTr="22EC85A2">
      <w:trPr>
        <w:trHeight w:val="111"/>
      </w:trPr>
      <w:tc>
        <w:tcPr>
          <w:tcW w:w="1019" w:type="pct"/>
          <w:tcBorders>
            <w:top w:val="single" w:sz="6" w:space="0" w:color="auto"/>
            <w:left w:val="single" w:sz="6" w:space="0" w:color="auto"/>
            <w:bottom w:val="single" w:sz="6" w:space="0" w:color="auto"/>
            <w:right w:val="single" w:sz="6" w:space="0" w:color="auto"/>
          </w:tcBorders>
          <w:shd w:val="clear" w:color="auto" w:fill="auto"/>
          <w:hideMark/>
        </w:tcPr>
        <w:p w14:paraId="7142333E" w14:textId="77777777" w:rsidR="00284E12" w:rsidRPr="00B7022E" w:rsidRDefault="00284E12" w:rsidP="00284E12">
          <w:pPr>
            <w:rPr>
              <w:sz w:val="16"/>
              <w:szCs w:val="16"/>
            </w:rPr>
          </w:pPr>
          <w:r w:rsidRPr="00B7022E">
            <w:rPr>
              <w:b/>
              <w:bCs/>
              <w:sz w:val="16"/>
              <w:szCs w:val="16"/>
            </w:rPr>
            <w:t>Approved by</w:t>
          </w:r>
          <w:r w:rsidRPr="00B7022E">
            <w:rPr>
              <w:sz w:val="16"/>
              <w:szCs w:val="16"/>
            </w:rPr>
            <w:t> </w:t>
          </w:r>
        </w:p>
      </w:tc>
      <w:tc>
        <w:tcPr>
          <w:tcW w:w="3981" w:type="pct"/>
          <w:gridSpan w:val="3"/>
          <w:tcBorders>
            <w:top w:val="single" w:sz="6" w:space="0" w:color="auto"/>
            <w:left w:val="single" w:sz="6" w:space="0" w:color="auto"/>
            <w:bottom w:val="single" w:sz="6" w:space="0" w:color="auto"/>
            <w:right w:val="single" w:sz="6" w:space="0" w:color="auto"/>
          </w:tcBorders>
          <w:shd w:val="clear" w:color="auto" w:fill="auto"/>
          <w:hideMark/>
        </w:tcPr>
        <w:p w14:paraId="13B4D1F4" w14:textId="7F6E4221" w:rsidR="00284E12" w:rsidRPr="00B7022E" w:rsidRDefault="003C475E" w:rsidP="00284E12">
          <w:pPr>
            <w:rPr>
              <w:sz w:val="16"/>
              <w:szCs w:val="16"/>
            </w:rPr>
          </w:pPr>
          <w:r w:rsidRPr="003C475E">
            <w:rPr>
              <w:sz w:val="16"/>
              <w:szCs w:val="16"/>
            </w:rPr>
            <w:t xml:space="preserve">Ada </w:t>
          </w:r>
          <w:proofErr w:type="spellStart"/>
          <w:r w:rsidRPr="003C475E">
            <w:rPr>
              <w:sz w:val="16"/>
              <w:szCs w:val="16"/>
            </w:rPr>
            <w:t>Onyeagwara</w:t>
          </w:r>
          <w:proofErr w:type="spellEnd"/>
          <w:r w:rsidRPr="003C475E">
            <w:rPr>
              <w:sz w:val="16"/>
              <w:szCs w:val="16"/>
            </w:rPr>
            <w:t>, Deputy Director, Medicines Optimisation (Clinical Programmes and Governance), NHS NEL</w:t>
          </w:r>
        </w:p>
      </w:tc>
    </w:tr>
    <w:tr w:rsidR="00284E12" w:rsidRPr="00B7022E" w14:paraId="12A72DA9" w14:textId="77777777" w:rsidTr="003D397B">
      <w:trPr>
        <w:trHeight w:val="65"/>
      </w:trPr>
      <w:tc>
        <w:tcPr>
          <w:tcW w:w="1019" w:type="pct"/>
          <w:tcBorders>
            <w:top w:val="single" w:sz="6" w:space="0" w:color="auto"/>
            <w:left w:val="single" w:sz="6" w:space="0" w:color="auto"/>
            <w:bottom w:val="single" w:sz="6" w:space="0" w:color="auto"/>
            <w:right w:val="single" w:sz="6" w:space="0" w:color="auto"/>
          </w:tcBorders>
          <w:shd w:val="clear" w:color="auto" w:fill="auto"/>
          <w:hideMark/>
        </w:tcPr>
        <w:p w14:paraId="34428754" w14:textId="77777777" w:rsidR="00284E12" w:rsidRPr="00B7022E" w:rsidRDefault="00284E12" w:rsidP="00284E12">
          <w:pPr>
            <w:rPr>
              <w:sz w:val="16"/>
              <w:szCs w:val="16"/>
            </w:rPr>
          </w:pPr>
          <w:r w:rsidRPr="00B7022E">
            <w:rPr>
              <w:b/>
              <w:bCs/>
              <w:sz w:val="16"/>
              <w:szCs w:val="16"/>
            </w:rPr>
            <w:t>Date approved:</w:t>
          </w:r>
          <w:r w:rsidRPr="00B7022E">
            <w:rPr>
              <w:sz w:val="16"/>
              <w:szCs w:val="16"/>
            </w:rPr>
            <w:t> </w:t>
          </w:r>
        </w:p>
      </w:tc>
      <w:tc>
        <w:tcPr>
          <w:tcW w:w="1650" w:type="pct"/>
          <w:tcBorders>
            <w:top w:val="single" w:sz="6" w:space="0" w:color="auto"/>
            <w:left w:val="single" w:sz="6" w:space="0" w:color="auto"/>
            <w:bottom w:val="single" w:sz="6" w:space="0" w:color="auto"/>
            <w:right w:val="single" w:sz="6" w:space="0" w:color="auto"/>
          </w:tcBorders>
          <w:shd w:val="clear" w:color="auto" w:fill="auto"/>
          <w:hideMark/>
        </w:tcPr>
        <w:p w14:paraId="774E689F" w14:textId="5764712D" w:rsidR="00284E12" w:rsidRPr="00B7022E" w:rsidRDefault="00284E12" w:rsidP="00284E12">
          <w:pPr>
            <w:rPr>
              <w:sz w:val="16"/>
              <w:szCs w:val="16"/>
            </w:rPr>
          </w:pPr>
          <w:r>
            <w:rPr>
              <w:sz w:val="16"/>
              <w:szCs w:val="16"/>
            </w:rPr>
            <w:t>18 February 2025</w:t>
          </w:r>
        </w:p>
      </w:tc>
      <w:tc>
        <w:tcPr>
          <w:tcW w:w="1165" w:type="pct"/>
          <w:tcBorders>
            <w:top w:val="single" w:sz="6" w:space="0" w:color="auto"/>
            <w:left w:val="single" w:sz="6" w:space="0" w:color="auto"/>
            <w:bottom w:val="single" w:sz="6" w:space="0" w:color="auto"/>
            <w:right w:val="single" w:sz="6" w:space="0" w:color="auto"/>
          </w:tcBorders>
          <w:shd w:val="clear" w:color="auto" w:fill="auto"/>
          <w:hideMark/>
        </w:tcPr>
        <w:p w14:paraId="1DB7B3BF" w14:textId="1BADD8E4" w:rsidR="00284E12" w:rsidRPr="00B7022E" w:rsidRDefault="00284E12" w:rsidP="00284E12">
          <w:pPr>
            <w:rPr>
              <w:sz w:val="16"/>
              <w:szCs w:val="16"/>
            </w:rPr>
          </w:pPr>
          <w:r w:rsidRPr="00B7022E">
            <w:rPr>
              <w:b/>
              <w:bCs/>
              <w:sz w:val="16"/>
              <w:szCs w:val="16"/>
            </w:rPr>
            <w:t>Review date:</w:t>
          </w:r>
          <w:r>
            <w:rPr>
              <w:b/>
              <w:bCs/>
              <w:sz w:val="16"/>
              <w:szCs w:val="16"/>
            </w:rPr>
            <w:t xml:space="preserve"> </w:t>
          </w:r>
        </w:p>
      </w:tc>
      <w:tc>
        <w:tcPr>
          <w:tcW w:w="1166" w:type="pct"/>
          <w:tcBorders>
            <w:top w:val="single" w:sz="6" w:space="0" w:color="auto"/>
            <w:left w:val="single" w:sz="6" w:space="0" w:color="auto"/>
            <w:bottom w:val="single" w:sz="6" w:space="0" w:color="auto"/>
            <w:right w:val="single" w:sz="6" w:space="0" w:color="auto"/>
          </w:tcBorders>
          <w:shd w:val="clear" w:color="auto" w:fill="auto"/>
        </w:tcPr>
        <w:p w14:paraId="16108411" w14:textId="1FC2ABAB" w:rsidR="00284E12" w:rsidRPr="00B7022E" w:rsidRDefault="00284E12" w:rsidP="00284E12">
          <w:pPr>
            <w:rPr>
              <w:sz w:val="16"/>
              <w:szCs w:val="16"/>
            </w:rPr>
          </w:pPr>
          <w:r w:rsidRPr="00CD50F8">
            <w:rPr>
              <w:sz w:val="16"/>
              <w:szCs w:val="16"/>
            </w:rPr>
            <w:t>18</w:t>
          </w:r>
          <w:r>
            <w:rPr>
              <w:sz w:val="16"/>
              <w:szCs w:val="16"/>
            </w:rPr>
            <w:t xml:space="preserve"> December</w:t>
          </w:r>
          <w:r>
            <w:rPr>
              <w:sz w:val="16"/>
              <w:szCs w:val="16"/>
            </w:rPr>
            <w:t xml:space="preserve"> </w:t>
          </w:r>
          <w:r>
            <w:rPr>
              <w:sz w:val="16"/>
              <w:szCs w:val="16"/>
            </w:rPr>
            <w:t>202</w:t>
          </w:r>
          <w:r w:rsidRPr="00CD50F8">
            <w:rPr>
              <w:sz w:val="16"/>
              <w:szCs w:val="16"/>
            </w:rPr>
            <w:t>5</w:t>
          </w:r>
        </w:p>
      </w:tc>
    </w:tr>
    <w:tr w:rsidR="00284E12" w:rsidRPr="00B7022E" w14:paraId="42D64EBE" w14:textId="77777777" w:rsidTr="22EC85A2">
      <w:trPr>
        <w:trHeight w:val="65"/>
      </w:trPr>
      <w:tc>
        <w:tcPr>
          <w:tcW w:w="5000" w:type="pct"/>
          <w:gridSpan w:val="4"/>
          <w:tcBorders>
            <w:top w:val="single" w:sz="6" w:space="0" w:color="auto"/>
            <w:left w:val="single" w:sz="6" w:space="0" w:color="auto"/>
            <w:bottom w:val="single" w:sz="6" w:space="0" w:color="auto"/>
            <w:right w:val="single" w:sz="6" w:space="0" w:color="auto"/>
          </w:tcBorders>
          <w:shd w:val="clear" w:color="auto" w:fill="auto"/>
          <w:hideMark/>
        </w:tcPr>
        <w:p w14:paraId="328F69B0" w14:textId="77777777" w:rsidR="00284E12" w:rsidRPr="00B7022E" w:rsidRDefault="00284E12" w:rsidP="00284E12">
          <w:pPr>
            <w:jc w:val="center"/>
            <w:rPr>
              <w:sz w:val="16"/>
              <w:szCs w:val="16"/>
            </w:rPr>
          </w:pPr>
          <w:r w:rsidRPr="00B7022E">
            <w:rPr>
              <w:b/>
              <w:bCs/>
              <w:sz w:val="16"/>
              <w:szCs w:val="16"/>
            </w:rPr>
            <w:t>WARNING – This document is uncontrolled if printed</w:t>
          </w:r>
        </w:p>
      </w:tc>
    </w:tr>
  </w:tbl>
  <w:bookmarkEnd w:id="0"/>
  <w:p w14:paraId="709B9CBE" w14:textId="32A6308E" w:rsidR="00EB7186" w:rsidRDefault="00821DB2">
    <w:pPr>
      <w:pStyle w:val="Footer"/>
    </w:pPr>
    <w:r>
      <w:rPr>
        <w:noProof/>
        <w:lang w:eastAsia="en-GB"/>
      </w:rPr>
      <w:drawing>
        <wp:anchor distT="0" distB="0" distL="114300" distR="114300" simplePos="0" relativeHeight="251658241" behindDoc="1" locked="0" layoutInCell="1" allowOverlap="1" wp14:anchorId="4455BF21" wp14:editId="09BA6E45">
          <wp:simplePos x="0" y="0"/>
          <wp:positionH relativeFrom="page">
            <wp:posOffset>-504825</wp:posOffset>
          </wp:positionH>
          <wp:positionV relativeFrom="page">
            <wp:posOffset>10144125</wp:posOffset>
          </wp:positionV>
          <wp:extent cx="8039100" cy="521335"/>
          <wp:effectExtent l="0" t="0" r="0" b="0"/>
          <wp:wrapNone/>
          <wp:docPr id="557880522" name="Picture 557880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5121"/>
                  <a:stretch/>
                </pic:blipFill>
                <pic:spPr bwMode="auto">
                  <a:xfrm>
                    <a:off x="0" y="0"/>
                    <a:ext cx="8039100" cy="521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F961C" w14:textId="77777777" w:rsidR="003F4EB5" w:rsidRDefault="003F4EB5" w:rsidP="00255A71">
      <w:r>
        <w:separator/>
      </w:r>
    </w:p>
  </w:footnote>
  <w:footnote w:type="continuationSeparator" w:id="0">
    <w:p w14:paraId="6C861D30" w14:textId="77777777" w:rsidR="003F4EB5" w:rsidRDefault="003F4EB5" w:rsidP="00255A71">
      <w:r>
        <w:continuationSeparator/>
      </w:r>
    </w:p>
  </w:footnote>
  <w:footnote w:type="continuationNotice" w:id="1">
    <w:p w14:paraId="4CB074BD" w14:textId="77777777" w:rsidR="003F4EB5" w:rsidRDefault="003F4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5E66" w14:textId="605776B3" w:rsidR="00036211" w:rsidRPr="00392211" w:rsidRDefault="00583290" w:rsidP="00EB7186">
    <w:pPr>
      <w:pStyle w:val="Header"/>
    </w:pPr>
    <w:r>
      <w:rPr>
        <w:noProof/>
        <w:lang w:eastAsia="en-GB"/>
      </w:rPr>
      <w:drawing>
        <wp:anchor distT="0" distB="0" distL="114300" distR="114300" simplePos="0" relativeHeight="251658240" behindDoc="1" locked="0" layoutInCell="1" allowOverlap="1" wp14:anchorId="52E9CE9A" wp14:editId="32AC114B">
          <wp:simplePos x="0" y="0"/>
          <wp:positionH relativeFrom="page">
            <wp:posOffset>0</wp:posOffset>
          </wp:positionH>
          <wp:positionV relativeFrom="page">
            <wp:posOffset>1174652</wp:posOffset>
          </wp:positionV>
          <wp:extent cx="7553325" cy="9516683"/>
          <wp:effectExtent l="0" t="0" r="0" b="8890"/>
          <wp:wrapNone/>
          <wp:docPr id="200482876" name="Picture 2004828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0929"/>
                  <a:stretch/>
                </pic:blipFill>
                <pic:spPr bwMode="auto">
                  <a:xfrm>
                    <a:off x="0" y="0"/>
                    <a:ext cx="7553678" cy="95171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52DB3" w14:textId="28ADE7E6" w:rsidR="005035C6" w:rsidRDefault="00821DB2">
    <w:pPr>
      <w:pStyle w:val="Header"/>
    </w:pPr>
    <w:r>
      <w:rPr>
        <w:noProof/>
        <w:lang w:eastAsia="en-GB"/>
      </w:rPr>
      <w:drawing>
        <wp:anchor distT="0" distB="0" distL="114300" distR="114300" simplePos="0" relativeHeight="251658242" behindDoc="1" locked="0" layoutInCell="1" allowOverlap="1" wp14:anchorId="13E4539F" wp14:editId="10D25FE5">
          <wp:simplePos x="0" y="0"/>
          <wp:positionH relativeFrom="page">
            <wp:posOffset>4486275</wp:posOffset>
          </wp:positionH>
          <wp:positionV relativeFrom="page">
            <wp:posOffset>-76200</wp:posOffset>
          </wp:positionV>
          <wp:extent cx="2809875" cy="1314450"/>
          <wp:effectExtent l="0" t="0" r="9525" b="0"/>
          <wp:wrapNone/>
          <wp:docPr id="1744399540" name="Picture 17443995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2086" r="-237" b="87697"/>
                  <a:stretch/>
                </pic:blipFill>
                <pic:spPr bwMode="auto">
                  <a:xfrm>
                    <a:off x="0" y="0"/>
                    <a:ext cx="2809875"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48CDA3" w14:textId="440424BD" w:rsidR="00F80D72" w:rsidRDefault="00F80D72">
    <w:pPr>
      <w:pStyle w:val="Header"/>
    </w:pPr>
  </w:p>
  <w:p w14:paraId="66FE4558" w14:textId="77777777" w:rsidR="00F80D72" w:rsidRDefault="00F80D72">
    <w:pPr>
      <w:pStyle w:val="Header"/>
    </w:pPr>
  </w:p>
  <w:p w14:paraId="12F6FD4F" w14:textId="77777777" w:rsidR="00F80D72" w:rsidRDefault="00F80D72">
    <w:pPr>
      <w:pStyle w:val="Header"/>
    </w:pPr>
  </w:p>
  <w:p w14:paraId="5F63D8E4" w14:textId="77777777" w:rsidR="005035C6" w:rsidRDefault="005035C6" w:rsidP="005035C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047"/>
    <w:multiLevelType w:val="multilevel"/>
    <w:tmpl w:val="8BE8A850"/>
    <w:lvl w:ilvl="0">
      <w:start w:val="1"/>
      <w:numFmt w:val="bullet"/>
      <w:lvlText w:val=""/>
      <w:lvlJc w:val="left"/>
      <w:pPr>
        <w:ind w:left="567" w:hanging="283"/>
      </w:pPr>
      <w:rPr>
        <w:rFonts w:ascii="Symbol" w:hAnsi="Symbol" w:hint="default"/>
        <w:color w:val="31288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A1902"/>
    <w:multiLevelType w:val="hybridMultilevel"/>
    <w:tmpl w:val="276E0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701774"/>
    <w:multiLevelType w:val="multilevel"/>
    <w:tmpl w:val="C40819FE"/>
    <w:lvl w:ilvl="0">
      <w:start w:val="1"/>
      <w:numFmt w:val="decimal"/>
      <w:lvlText w:val="%1."/>
      <w:lvlJc w:val="left"/>
      <w:pPr>
        <w:tabs>
          <w:tab w:val="num" w:pos="129"/>
        </w:tabs>
        <w:ind w:left="129" w:hanging="360"/>
      </w:pPr>
    </w:lvl>
    <w:lvl w:ilvl="1" w:tentative="1">
      <w:start w:val="1"/>
      <w:numFmt w:val="decimal"/>
      <w:lvlText w:val="%2."/>
      <w:lvlJc w:val="left"/>
      <w:pPr>
        <w:tabs>
          <w:tab w:val="num" w:pos="849"/>
        </w:tabs>
        <w:ind w:left="849" w:hanging="360"/>
      </w:pPr>
    </w:lvl>
    <w:lvl w:ilvl="2" w:tentative="1">
      <w:start w:val="1"/>
      <w:numFmt w:val="decimal"/>
      <w:lvlText w:val="%3."/>
      <w:lvlJc w:val="left"/>
      <w:pPr>
        <w:tabs>
          <w:tab w:val="num" w:pos="1569"/>
        </w:tabs>
        <w:ind w:left="1569" w:hanging="360"/>
      </w:pPr>
    </w:lvl>
    <w:lvl w:ilvl="3" w:tentative="1">
      <w:start w:val="1"/>
      <w:numFmt w:val="decimal"/>
      <w:lvlText w:val="%4."/>
      <w:lvlJc w:val="left"/>
      <w:pPr>
        <w:tabs>
          <w:tab w:val="num" w:pos="2289"/>
        </w:tabs>
        <w:ind w:left="2289" w:hanging="360"/>
      </w:pPr>
    </w:lvl>
    <w:lvl w:ilvl="4" w:tentative="1">
      <w:start w:val="1"/>
      <w:numFmt w:val="decimal"/>
      <w:lvlText w:val="%5."/>
      <w:lvlJc w:val="left"/>
      <w:pPr>
        <w:tabs>
          <w:tab w:val="num" w:pos="3009"/>
        </w:tabs>
        <w:ind w:left="3009" w:hanging="360"/>
      </w:pPr>
    </w:lvl>
    <w:lvl w:ilvl="5" w:tentative="1">
      <w:start w:val="1"/>
      <w:numFmt w:val="decimal"/>
      <w:lvlText w:val="%6."/>
      <w:lvlJc w:val="left"/>
      <w:pPr>
        <w:tabs>
          <w:tab w:val="num" w:pos="3729"/>
        </w:tabs>
        <w:ind w:left="3729" w:hanging="360"/>
      </w:pPr>
    </w:lvl>
    <w:lvl w:ilvl="6" w:tentative="1">
      <w:start w:val="1"/>
      <w:numFmt w:val="decimal"/>
      <w:lvlText w:val="%7."/>
      <w:lvlJc w:val="left"/>
      <w:pPr>
        <w:tabs>
          <w:tab w:val="num" w:pos="4449"/>
        </w:tabs>
        <w:ind w:left="4449" w:hanging="360"/>
      </w:pPr>
    </w:lvl>
    <w:lvl w:ilvl="7" w:tentative="1">
      <w:start w:val="1"/>
      <w:numFmt w:val="decimal"/>
      <w:lvlText w:val="%8."/>
      <w:lvlJc w:val="left"/>
      <w:pPr>
        <w:tabs>
          <w:tab w:val="num" w:pos="5169"/>
        </w:tabs>
        <w:ind w:left="5169" w:hanging="360"/>
      </w:pPr>
    </w:lvl>
    <w:lvl w:ilvl="8" w:tentative="1">
      <w:start w:val="1"/>
      <w:numFmt w:val="decimal"/>
      <w:lvlText w:val="%9."/>
      <w:lvlJc w:val="left"/>
      <w:pPr>
        <w:tabs>
          <w:tab w:val="num" w:pos="5889"/>
        </w:tabs>
        <w:ind w:left="5889" w:hanging="360"/>
      </w:pPr>
    </w:lvl>
  </w:abstractNum>
  <w:abstractNum w:abstractNumId="3" w15:restartNumberingAfterBreak="0">
    <w:nsid w:val="0B840BA5"/>
    <w:multiLevelType w:val="hybridMultilevel"/>
    <w:tmpl w:val="BA746FE4"/>
    <w:lvl w:ilvl="0" w:tplc="8A76777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2C06CB"/>
    <w:multiLevelType w:val="hybridMultilevel"/>
    <w:tmpl w:val="7BAE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20605"/>
    <w:multiLevelType w:val="hybridMultilevel"/>
    <w:tmpl w:val="38FC84DC"/>
    <w:lvl w:ilvl="0" w:tplc="8A767770">
      <w:start w:val="1"/>
      <w:numFmt w:val="bullet"/>
      <w:lvlText w:val=""/>
      <w:lvlJc w:val="left"/>
      <w:pPr>
        <w:ind w:left="720" w:hanging="360"/>
      </w:pPr>
      <w:rPr>
        <w:rFonts w:ascii="Symbol" w:hAnsi="Symbol" w:hint="default"/>
        <w:color w:val="auto"/>
      </w:rPr>
    </w:lvl>
    <w:lvl w:ilvl="1" w:tplc="8A76777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F340C"/>
    <w:multiLevelType w:val="hybridMultilevel"/>
    <w:tmpl w:val="317CC8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02"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EE5CF7"/>
    <w:multiLevelType w:val="multilevel"/>
    <w:tmpl w:val="7CB229AE"/>
    <w:lvl w:ilvl="0">
      <w:start w:val="1"/>
      <w:numFmt w:val="bullet"/>
      <w:lvlText w:val=""/>
      <w:lvlJc w:val="left"/>
      <w:pPr>
        <w:tabs>
          <w:tab w:val="num" w:pos="1789"/>
        </w:tabs>
        <w:ind w:left="1789" w:hanging="360"/>
      </w:pPr>
      <w:rPr>
        <w:rFonts w:ascii="Symbol" w:hAnsi="Symbol" w:hint="default"/>
        <w:sz w:val="20"/>
      </w:rPr>
    </w:lvl>
    <w:lvl w:ilvl="1">
      <w:start w:val="1"/>
      <w:numFmt w:val="bullet"/>
      <w:lvlText w:val=""/>
      <w:lvlJc w:val="left"/>
      <w:pPr>
        <w:tabs>
          <w:tab w:val="num" w:pos="2509"/>
        </w:tabs>
        <w:ind w:left="2509" w:hanging="360"/>
      </w:pPr>
      <w:rPr>
        <w:rFonts w:ascii="Symbol" w:hAnsi="Symbol" w:hint="default"/>
        <w:sz w:val="20"/>
      </w:rPr>
    </w:lvl>
    <w:lvl w:ilvl="2">
      <w:start w:val="1"/>
      <w:numFmt w:val="bullet"/>
      <w:lvlText w:val=""/>
      <w:lvlJc w:val="left"/>
      <w:pPr>
        <w:tabs>
          <w:tab w:val="num" w:pos="3229"/>
        </w:tabs>
        <w:ind w:left="3229" w:hanging="360"/>
      </w:pPr>
      <w:rPr>
        <w:rFonts w:ascii="Symbol" w:hAnsi="Symbol" w:hint="default"/>
        <w:sz w:val="20"/>
      </w:rPr>
    </w:lvl>
    <w:lvl w:ilvl="3">
      <w:start w:val="1"/>
      <w:numFmt w:val="bullet"/>
      <w:lvlText w:val=""/>
      <w:lvlJc w:val="left"/>
      <w:pPr>
        <w:tabs>
          <w:tab w:val="num" w:pos="3949"/>
        </w:tabs>
        <w:ind w:left="3949" w:hanging="360"/>
      </w:pPr>
      <w:rPr>
        <w:rFonts w:ascii="Symbol" w:hAnsi="Symbol" w:hint="default"/>
        <w:sz w:val="20"/>
      </w:rPr>
    </w:lvl>
    <w:lvl w:ilvl="4">
      <w:start w:val="1"/>
      <w:numFmt w:val="bullet"/>
      <w:lvlText w:val=""/>
      <w:lvlJc w:val="left"/>
      <w:pPr>
        <w:tabs>
          <w:tab w:val="num" w:pos="4669"/>
        </w:tabs>
        <w:ind w:left="4669" w:hanging="360"/>
      </w:pPr>
      <w:rPr>
        <w:rFonts w:ascii="Symbol" w:hAnsi="Symbol" w:hint="default"/>
        <w:sz w:val="20"/>
      </w:rPr>
    </w:lvl>
    <w:lvl w:ilvl="5">
      <w:start w:val="1"/>
      <w:numFmt w:val="bullet"/>
      <w:lvlText w:val=""/>
      <w:lvlJc w:val="left"/>
      <w:pPr>
        <w:tabs>
          <w:tab w:val="num" w:pos="5389"/>
        </w:tabs>
        <w:ind w:left="5389" w:hanging="360"/>
      </w:pPr>
      <w:rPr>
        <w:rFonts w:ascii="Symbol" w:hAnsi="Symbol" w:hint="default"/>
        <w:sz w:val="20"/>
      </w:rPr>
    </w:lvl>
    <w:lvl w:ilvl="6">
      <w:start w:val="1"/>
      <w:numFmt w:val="bullet"/>
      <w:lvlText w:val=""/>
      <w:lvlJc w:val="left"/>
      <w:pPr>
        <w:tabs>
          <w:tab w:val="num" w:pos="6109"/>
        </w:tabs>
        <w:ind w:left="6109" w:hanging="360"/>
      </w:pPr>
      <w:rPr>
        <w:rFonts w:ascii="Symbol" w:hAnsi="Symbol" w:hint="default"/>
        <w:sz w:val="20"/>
      </w:rPr>
    </w:lvl>
    <w:lvl w:ilvl="7">
      <w:start w:val="1"/>
      <w:numFmt w:val="bullet"/>
      <w:lvlText w:val=""/>
      <w:lvlJc w:val="left"/>
      <w:pPr>
        <w:tabs>
          <w:tab w:val="num" w:pos="6829"/>
        </w:tabs>
        <w:ind w:left="6829" w:hanging="360"/>
      </w:pPr>
      <w:rPr>
        <w:rFonts w:ascii="Symbol" w:hAnsi="Symbol" w:hint="default"/>
        <w:sz w:val="20"/>
      </w:rPr>
    </w:lvl>
    <w:lvl w:ilvl="8">
      <w:start w:val="1"/>
      <w:numFmt w:val="bullet"/>
      <w:lvlText w:val=""/>
      <w:lvlJc w:val="left"/>
      <w:pPr>
        <w:tabs>
          <w:tab w:val="num" w:pos="7549"/>
        </w:tabs>
        <w:ind w:left="7549" w:hanging="360"/>
      </w:pPr>
      <w:rPr>
        <w:rFonts w:ascii="Symbol" w:hAnsi="Symbol" w:hint="default"/>
        <w:sz w:val="20"/>
      </w:rPr>
    </w:lvl>
  </w:abstractNum>
  <w:abstractNum w:abstractNumId="8" w15:restartNumberingAfterBreak="0">
    <w:nsid w:val="38C47B67"/>
    <w:multiLevelType w:val="hybridMultilevel"/>
    <w:tmpl w:val="CD109C1C"/>
    <w:lvl w:ilvl="0" w:tplc="8A76777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B761A"/>
    <w:multiLevelType w:val="hybridMultilevel"/>
    <w:tmpl w:val="D28619A8"/>
    <w:lvl w:ilvl="0" w:tplc="C8748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83427"/>
    <w:multiLevelType w:val="hybridMultilevel"/>
    <w:tmpl w:val="ED66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E6D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7C72F6"/>
    <w:multiLevelType w:val="hybridMultilevel"/>
    <w:tmpl w:val="5058D3C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5E03A2"/>
    <w:multiLevelType w:val="hybridMultilevel"/>
    <w:tmpl w:val="376C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E611DB"/>
    <w:multiLevelType w:val="hybridMultilevel"/>
    <w:tmpl w:val="3850C5E2"/>
    <w:lvl w:ilvl="0" w:tplc="08090003">
      <w:start w:val="1"/>
      <w:numFmt w:val="bullet"/>
      <w:lvlText w:val="o"/>
      <w:lvlJc w:val="left"/>
      <w:pPr>
        <w:ind w:left="643" w:hanging="360"/>
      </w:pPr>
      <w:rPr>
        <w:rFonts w:ascii="Courier New" w:hAnsi="Courier New" w:cs="Courier New" w:hint="default"/>
        <w:color w:val="auto"/>
      </w:rPr>
    </w:lvl>
    <w:lvl w:ilvl="1" w:tplc="FFFFFFFF">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5" w15:restartNumberingAfterBreak="0">
    <w:nsid w:val="5A374399"/>
    <w:multiLevelType w:val="hybridMultilevel"/>
    <w:tmpl w:val="AD869A0C"/>
    <w:lvl w:ilvl="0" w:tplc="3DDECC60">
      <w:start w:val="1"/>
      <w:numFmt w:val="bullet"/>
      <w:lvlText w:val=""/>
      <w:lvlJc w:val="left"/>
      <w:pPr>
        <w:ind w:left="360" w:hanging="360"/>
      </w:pPr>
      <w:rPr>
        <w:rFonts w:ascii="Symbol" w:hAnsi="Symbol" w:hint="default"/>
        <w:color w:val="auto"/>
      </w:rPr>
    </w:lvl>
    <w:lvl w:ilvl="1" w:tplc="8A767770">
      <w:start w:val="1"/>
      <w:numFmt w:val="bullet"/>
      <w:lvlText w:val=""/>
      <w:lvlJc w:val="left"/>
      <w:pPr>
        <w:ind w:left="72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1639B6"/>
    <w:multiLevelType w:val="hybridMultilevel"/>
    <w:tmpl w:val="47FACE02"/>
    <w:lvl w:ilvl="0" w:tplc="BD48EB48">
      <w:start w:val="1"/>
      <w:numFmt w:val="decimal"/>
      <w:lvlText w:val="%1."/>
      <w:lvlJc w:val="left"/>
      <w:pPr>
        <w:ind w:left="360" w:hanging="360"/>
      </w:pPr>
      <w:rPr>
        <w:b w:val="0"/>
      </w:rPr>
    </w:lvl>
    <w:lvl w:ilvl="1" w:tplc="08090019">
      <w:start w:val="1"/>
      <w:numFmt w:val="lowerLetter"/>
      <w:lvlText w:val="%2."/>
      <w:lvlJc w:val="left"/>
      <w:pPr>
        <w:ind w:left="1069"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1D91D9A"/>
    <w:multiLevelType w:val="hybridMultilevel"/>
    <w:tmpl w:val="878C6F2C"/>
    <w:lvl w:ilvl="0" w:tplc="8A7677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801A09"/>
    <w:multiLevelType w:val="hybridMultilevel"/>
    <w:tmpl w:val="3B6278EA"/>
    <w:lvl w:ilvl="0" w:tplc="8A767770">
      <w:start w:val="1"/>
      <w:numFmt w:val="bullet"/>
      <w:lvlText w:val=""/>
      <w:lvlJc w:val="left"/>
      <w:pPr>
        <w:ind w:left="720" w:hanging="360"/>
      </w:pPr>
      <w:rPr>
        <w:rFonts w:ascii="Symbol" w:hAnsi="Symbol" w:hint="default"/>
        <w:color w:val="auto"/>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3391EFD"/>
    <w:multiLevelType w:val="multilevel"/>
    <w:tmpl w:val="426A3BAA"/>
    <w:lvl w:ilvl="0">
      <w:start w:val="1"/>
      <w:numFmt w:val="bullet"/>
      <w:lvlText w:val=""/>
      <w:lvlJc w:val="left"/>
      <w:pPr>
        <w:ind w:left="1440" w:hanging="360"/>
      </w:pPr>
      <w:rPr>
        <w:rFonts w:ascii="Symbol" w:hAnsi="Symbol" w:hint="default"/>
        <w:color w:val="31288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E23526"/>
    <w:multiLevelType w:val="hybridMultilevel"/>
    <w:tmpl w:val="D0DAEDAC"/>
    <w:lvl w:ilvl="0" w:tplc="9C841082">
      <w:start w:val="1"/>
      <w:numFmt w:val="bullet"/>
      <w:pStyle w:val="ListParagraph"/>
      <w:lvlText w:val=""/>
      <w:lvlJc w:val="left"/>
      <w:pPr>
        <w:ind w:left="283" w:hanging="283"/>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177D6B"/>
    <w:multiLevelType w:val="hybridMultilevel"/>
    <w:tmpl w:val="DE2A7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837F08"/>
    <w:multiLevelType w:val="hybridMultilevel"/>
    <w:tmpl w:val="B55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200521">
    <w:abstractNumId w:val="20"/>
  </w:num>
  <w:num w:numId="2" w16cid:durableId="1403024012">
    <w:abstractNumId w:val="19"/>
  </w:num>
  <w:num w:numId="3" w16cid:durableId="1242443749">
    <w:abstractNumId w:val="0"/>
  </w:num>
  <w:num w:numId="4" w16cid:durableId="2018799525">
    <w:abstractNumId w:val="11"/>
  </w:num>
  <w:num w:numId="5" w16cid:durableId="1582443017">
    <w:abstractNumId w:val="13"/>
  </w:num>
  <w:num w:numId="6" w16cid:durableId="1167328357">
    <w:abstractNumId w:val="8"/>
  </w:num>
  <w:num w:numId="7" w16cid:durableId="336226459">
    <w:abstractNumId w:val="9"/>
  </w:num>
  <w:num w:numId="8" w16cid:durableId="687561477">
    <w:abstractNumId w:val="5"/>
  </w:num>
  <w:num w:numId="9" w16cid:durableId="634544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029224">
    <w:abstractNumId w:val="7"/>
  </w:num>
  <w:num w:numId="11" w16cid:durableId="44374751">
    <w:abstractNumId w:val="16"/>
  </w:num>
  <w:num w:numId="12" w16cid:durableId="2016881945">
    <w:abstractNumId w:val="15"/>
  </w:num>
  <w:num w:numId="13" w16cid:durableId="1655986514">
    <w:abstractNumId w:val="17"/>
  </w:num>
  <w:num w:numId="14" w16cid:durableId="501699159">
    <w:abstractNumId w:val="4"/>
  </w:num>
  <w:num w:numId="15" w16cid:durableId="2020811563">
    <w:abstractNumId w:val="18"/>
  </w:num>
  <w:num w:numId="16" w16cid:durableId="1763647531">
    <w:abstractNumId w:val="12"/>
  </w:num>
  <w:num w:numId="17" w16cid:durableId="617612539">
    <w:abstractNumId w:val="10"/>
  </w:num>
  <w:num w:numId="18" w16cid:durableId="2117166850">
    <w:abstractNumId w:val="1"/>
  </w:num>
  <w:num w:numId="19" w16cid:durableId="513421967">
    <w:abstractNumId w:val="6"/>
  </w:num>
  <w:num w:numId="20" w16cid:durableId="1199590284">
    <w:abstractNumId w:val="22"/>
  </w:num>
  <w:num w:numId="21" w16cid:durableId="1469935738">
    <w:abstractNumId w:val="3"/>
  </w:num>
  <w:num w:numId="22" w16cid:durableId="678509448">
    <w:abstractNumId w:val="14"/>
  </w:num>
  <w:num w:numId="23" w16cid:durableId="981079360">
    <w:abstractNumId w:val="21"/>
  </w:num>
  <w:num w:numId="24" w16cid:durableId="146168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efaultTableStyle w:val="GridTable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71"/>
    <w:rsid w:val="00016219"/>
    <w:rsid w:val="00027F79"/>
    <w:rsid w:val="00031006"/>
    <w:rsid w:val="00036211"/>
    <w:rsid w:val="00040971"/>
    <w:rsid w:val="000430A6"/>
    <w:rsid w:val="00044169"/>
    <w:rsid w:val="000534C5"/>
    <w:rsid w:val="000558F2"/>
    <w:rsid w:val="00057B29"/>
    <w:rsid w:val="0006090C"/>
    <w:rsid w:val="00061314"/>
    <w:rsid w:val="0006409A"/>
    <w:rsid w:val="00067D0D"/>
    <w:rsid w:val="00087E86"/>
    <w:rsid w:val="0009279A"/>
    <w:rsid w:val="00095A07"/>
    <w:rsid w:val="000964CF"/>
    <w:rsid w:val="000A6645"/>
    <w:rsid w:val="000B1A22"/>
    <w:rsid w:val="000B27EF"/>
    <w:rsid w:val="000B4718"/>
    <w:rsid w:val="000B4724"/>
    <w:rsid w:val="000B6223"/>
    <w:rsid w:val="000C2841"/>
    <w:rsid w:val="000D07D5"/>
    <w:rsid w:val="000D2881"/>
    <w:rsid w:val="000E777B"/>
    <w:rsid w:val="000F0AFD"/>
    <w:rsid w:val="000F2BF9"/>
    <w:rsid w:val="000F3CCD"/>
    <w:rsid w:val="000F6067"/>
    <w:rsid w:val="0010760A"/>
    <w:rsid w:val="00116D78"/>
    <w:rsid w:val="00120F5E"/>
    <w:rsid w:val="0012704D"/>
    <w:rsid w:val="00132AD7"/>
    <w:rsid w:val="00134280"/>
    <w:rsid w:val="001407DF"/>
    <w:rsid w:val="0015472F"/>
    <w:rsid w:val="0015571E"/>
    <w:rsid w:val="0015587E"/>
    <w:rsid w:val="00190C52"/>
    <w:rsid w:val="001A1275"/>
    <w:rsid w:val="001A438D"/>
    <w:rsid w:val="001A54B1"/>
    <w:rsid w:val="001A6344"/>
    <w:rsid w:val="001B4927"/>
    <w:rsid w:val="001B654C"/>
    <w:rsid w:val="001C11EE"/>
    <w:rsid w:val="001C1309"/>
    <w:rsid w:val="001D475A"/>
    <w:rsid w:val="001E58AA"/>
    <w:rsid w:val="001E5E1F"/>
    <w:rsid w:val="001E7DC5"/>
    <w:rsid w:val="0020286D"/>
    <w:rsid w:val="0022225F"/>
    <w:rsid w:val="0024628D"/>
    <w:rsid w:val="00254404"/>
    <w:rsid w:val="00255A71"/>
    <w:rsid w:val="00257C41"/>
    <w:rsid w:val="002773A4"/>
    <w:rsid w:val="00281495"/>
    <w:rsid w:val="0028187D"/>
    <w:rsid w:val="00284E12"/>
    <w:rsid w:val="00294C57"/>
    <w:rsid w:val="00295736"/>
    <w:rsid w:val="002A6847"/>
    <w:rsid w:val="002B172A"/>
    <w:rsid w:val="002B5393"/>
    <w:rsid w:val="002C3801"/>
    <w:rsid w:val="002C7448"/>
    <w:rsid w:val="002D178D"/>
    <w:rsid w:val="002E0F86"/>
    <w:rsid w:val="002E294A"/>
    <w:rsid w:val="002E50F3"/>
    <w:rsid w:val="002E5B01"/>
    <w:rsid w:val="002E68C6"/>
    <w:rsid w:val="002E7C99"/>
    <w:rsid w:val="002F125F"/>
    <w:rsid w:val="002F4174"/>
    <w:rsid w:val="00306551"/>
    <w:rsid w:val="003067DF"/>
    <w:rsid w:val="0031094B"/>
    <w:rsid w:val="00316956"/>
    <w:rsid w:val="0034426C"/>
    <w:rsid w:val="0034663A"/>
    <w:rsid w:val="00355A00"/>
    <w:rsid w:val="00361D6C"/>
    <w:rsid w:val="00370C86"/>
    <w:rsid w:val="00370FA9"/>
    <w:rsid w:val="003716D7"/>
    <w:rsid w:val="0038212B"/>
    <w:rsid w:val="0039013B"/>
    <w:rsid w:val="00392211"/>
    <w:rsid w:val="003928F5"/>
    <w:rsid w:val="00392AA7"/>
    <w:rsid w:val="003956F8"/>
    <w:rsid w:val="003A75BE"/>
    <w:rsid w:val="003B178B"/>
    <w:rsid w:val="003C475E"/>
    <w:rsid w:val="003D090F"/>
    <w:rsid w:val="003D1E9C"/>
    <w:rsid w:val="003D397B"/>
    <w:rsid w:val="003E043B"/>
    <w:rsid w:val="003E30EA"/>
    <w:rsid w:val="003F353C"/>
    <w:rsid w:val="003F4EB5"/>
    <w:rsid w:val="003F65C9"/>
    <w:rsid w:val="00401F79"/>
    <w:rsid w:val="004047B1"/>
    <w:rsid w:val="0041249E"/>
    <w:rsid w:val="0041379D"/>
    <w:rsid w:val="00414882"/>
    <w:rsid w:val="00416213"/>
    <w:rsid w:val="00416674"/>
    <w:rsid w:val="00420F57"/>
    <w:rsid w:val="00425C75"/>
    <w:rsid w:val="004307BD"/>
    <w:rsid w:val="00433FF6"/>
    <w:rsid w:val="0044544A"/>
    <w:rsid w:val="00456502"/>
    <w:rsid w:val="00464A9B"/>
    <w:rsid w:val="00473FFB"/>
    <w:rsid w:val="00476194"/>
    <w:rsid w:val="004904A0"/>
    <w:rsid w:val="004973B5"/>
    <w:rsid w:val="004973D9"/>
    <w:rsid w:val="004A20C2"/>
    <w:rsid w:val="004A36E4"/>
    <w:rsid w:val="004B06F8"/>
    <w:rsid w:val="004B1B4B"/>
    <w:rsid w:val="004B25F2"/>
    <w:rsid w:val="004B4C0B"/>
    <w:rsid w:val="004B5E1E"/>
    <w:rsid w:val="004C03F3"/>
    <w:rsid w:val="004D172A"/>
    <w:rsid w:val="004D1D33"/>
    <w:rsid w:val="004D7552"/>
    <w:rsid w:val="004E42D9"/>
    <w:rsid w:val="004F1057"/>
    <w:rsid w:val="004F5BC5"/>
    <w:rsid w:val="005035C6"/>
    <w:rsid w:val="005039E5"/>
    <w:rsid w:val="0050650C"/>
    <w:rsid w:val="0050713A"/>
    <w:rsid w:val="00514088"/>
    <w:rsid w:val="00517168"/>
    <w:rsid w:val="00525983"/>
    <w:rsid w:val="0053793C"/>
    <w:rsid w:val="005405A8"/>
    <w:rsid w:val="005467F8"/>
    <w:rsid w:val="00556157"/>
    <w:rsid w:val="00556314"/>
    <w:rsid w:val="00560B81"/>
    <w:rsid w:val="00567FF4"/>
    <w:rsid w:val="005703F7"/>
    <w:rsid w:val="00574A32"/>
    <w:rsid w:val="00575F2F"/>
    <w:rsid w:val="00580EE6"/>
    <w:rsid w:val="00581C6C"/>
    <w:rsid w:val="00583290"/>
    <w:rsid w:val="0058438A"/>
    <w:rsid w:val="00587E26"/>
    <w:rsid w:val="0059264B"/>
    <w:rsid w:val="00593036"/>
    <w:rsid w:val="00595A3C"/>
    <w:rsid w:val="005A3F75"/>
    <w:rsid w:val="005B65A5"/>
    <w:rsid w:val="005B7173"/>
    <w:rsid w:val="005C3102"/>
    <w:rsid w:val="005C71C6"/>
    <w:rsid w:val="005D0712"/>
    <w:rsid w:val="005D119A"/>
    <w:rsid w:val="005E3F56"/>
    <w:rsid w:val="005F018A"/>
    <w:rsid w:val="005F465A"/>
    <w:rsid w:val="006009B9"/>
    <w:rsid w:val="00604E05"/>
    <w:rsid w:val="0060744E"/>
    <w:rsid w:val="00612540"/>
    <w:rsid w:val="00612F31"/>
    <w:rsid w:val="006144D1"/>
    <w:rsid w:val="0061482E"/>
    <w:rsid w:val="006158A9"/>
    <w:rsid w:val="00631354"/>
    <w:rsid w:val="006315F8"/>
    <w:rsid w:val="0064597B"/>
    <w:rsid w:val="0064655E"/>
    <w:rsid w:val="00653D4F"/>
    <w:rsid w:val="006622C7"/>
    <w:rsid w:val="00663F91"/>
    <w:rsid w:val="006653D1"/>
    <w:rsid w:val="00666847"/>
    <w:rsid w:val="00670988"/>
    <w:rsid w:val="00672907"/>
    <w:rsid w:val="00675D53"/>
    <w:rsid w:val="00684E6E"/>
    <w:rsid w:val="0069120A"/>
    <w:rsid w:val="00696BEC"/>
    <w:rsid w:val="00697D95"/>
    <w:rsid w:val="006B676D"/>
    <w:rsid w:val="006B7068"/>
    <w:rsid w:val="006C2929"/>
    <w:rsid w:val="006C5866"/>
    <w:rsid w:val="006C738C"/>
    <w:rsid w:val="006D1ED8"/>
    <w:rsid w:val="006D41C0"/>
    <w:rsid w:val="006D7005"/>
    <w:rsid w:val="006F2CCF"/>
    <w:rsid w:val="006F3DA6"/>
    <w:rsid w:val="00701E82"/>
    <w:rsid w:val="007134DD"/>
    <w:rsid w:val="00716CF0"/>
    <w:rsid w:val="00725545"/>
    <w:rsid w:val="00725D0D"/>
    <w:rsid w:val="007362AF"/>
    <w:rsid w:val="00747D55"/>
    <w:rsid w:val="00757AA7"/>
    <w:rsid w:val="0076068C"/>
    <w:rsid w:val="00761FF8"/>
    <w:rsid w:val="00770DA7"/>
    <w:rsid w:val="0078210A"/>
    <w:rsid w:val="00784D95"/>
    <w:rsid w:val="00784EF6"/>
    <w:rsid w:val="007908B1"/>
    <w:rsid w:val="007935E5"/>
    <w:rsid w:val="007A4121"/>
    <w:rsid w:val="007B6FFA"/>
    <w:rsid w:val="007C1E82"/>
    <w:rsid w:val="007C3E6C"/>
    <w:rsid w:val="007D3EB5"/>
    <w:rsid w:val="007D5080"/>
    <w:rsid w:val="007D54E9"/>
    <w:rsid w:val="008028BB"/>
    <w:rsid w:val="008045BA"/>
    <w:rsid w:val="0080639A"/>
    <w:rsid w:val="00816B47"/>
    <w:rsid w:val="00820901"/>
    <w:rsid w:val="00821DB2"/>
    <w:rsid w:val="008222A1"/>
    <w:rsid w:val="00827F19"/>
    <w:rsid w:val="008473A4"/>
    <w:rsid w:val="00852FB1"/>
    <w:rsid w:val="00867596"/>
    <w:rsid w:val="00880C98"/>
    <w:rsid w:val="00886F6F"/>
    <w:rsid w:val="0089189F"/>
    <w:rsid w:val="00894488"/>
    <w:rsid w:val="008A041A"/>
    <w:rsid w:val="008A08B5"/>
    <w:rsid w:val="008A0A56"/>
    <w:rsid w:val="008A3235"/>
    <w:rsid w:val="008A42D8"/>
    <w:rsid w:val="008B1369"/>
    <w:rsid w:val="008B5062"/>
    <w:rsid w:val="008C3D54"/>
    <w:rsid w:val="008D353D"/>
    <w:rsid w:val="008D3D13"/>
    <w:rsid w:val="008E02EC"/>
    <w:rsid w:val="008E13CF"/>
    <w:rsid w:val="008F0A4A"/>
    <w:rsid w:val="008F52C7"/>
    <w:rsid w:val="008F6B54"/>
    <w:rsid w:val="00905B15"/>
    <w:rsid w:val="00906B58"/>
    <w:rsid w:val="00907AE7"/>
    <w:rsid w:val="00941B1A"/>
    <w:rsid w:val="009423D0"/>
    <w:rsid w:val="00944970"/>
    <w:rsid w:val="009560B4"/>
    <w:rsid w:val="0095799E"/>
    <w:rsid w:val="0096157C"/>
    <w:rsid w:val="00962D12"/>
    <w:rsid w:val="00963D44"/>
    <w:rsid w:val="009660B2"/>
    <w:rsid w:val="009721E6"/>
    <w:rsid w:val="009750F2"/>
    <w:rsid w:val="0097614C"/>
    <w:rsid w:val="0098152E"/>
    <w:rsid w:val="00986217"/>
    <w:rsid w:val="00992B4A"/>
    <w:rsid w:val="009A29DA"/>
    <w:rsid w:val="009A4A48"/>
    <w:rsid w:val="009B7282"/>
    <w:rsid w:val="009C65F2"/>
    <w:rsid w:val="009C7CD5"/>
    <w:rsid w:val="009D6C8E"/>
    <w:rsid w:val="00A173A1"/>
    <w:rsid w:val="00A647C8"/>
    <w:rsid w:val="00A7514C"/>
    <w:rsid w:val="00A75D75"/>
    <w:rsid w:val="00A76DDF"/>
    <w:rsid w:val="00A77E55"/>
    <w:rsid w:val="00AA75C7"/>
    <w:rsid w:val="00AB5ED6"/>
    <w:rsid w:val="00AB6B19"/>
    <w:rsid w:val="00AD5A47"/>
    <w:rsid w:val="00AD78D5"/>
    <w:rsid w:val="00AD7CB4"/>
    <w:rsid w:val="00AE4039"/>
    <w:rsid w:val="00AE4714"/>
    <w:rsid w:val="00AE7CB8"/>
    <w:rsid w:val="00AF0B9E"/>
    <w:rsid w:val="00AF3921"/>
    <w:rsid w:val="00B01018"/>
    <w:rsid w:val="00B04DDF"/>
    <w:rsid w:val="00B061AE"/>
    <w:rsid w:val="00B1413C"/>
    <w:rsid w:val="00B15FAF"/>
    <w:rsid w:val="00B17054"/>
    <w:rsid w:val="00B252A8"/>
    <w:rsid w:val="00B26209"/>
    <w:rsid w:val="00B45C90"/>
    <w:rsid w:val="00B51CBD"/>
    <w:rsid w:val="00B5319A"/>
    <w:rsid w:val="00B56B9C"/>
    <w:rsid w:val="00B66420"/>
    <w:rsid w:val="00BB1F3A"/>
    <w:rsid w:val="00BB5865"/>
    <w:rsid w:val="00BC4851"/>
    <w:rsid w:val="00BC539A"/>
    <w:rsid w:val="00BE2CEA"/>
    <w:rsid w:val="00BF009B"/>
    <w:rsid w:val="00BF60D3"/>
    <w:rsid w:val="00C11EEA"/>
    <w:rsid w:val="00C2245C"/>
    <w:rsid w:val="00C24318"/>
    <w:rsid w:val="00C24839"/>
    <w:rsid w:val="00C30D04"/>
    <w:rsid w:val="00C31A94"/>
    <w:rsid w:val="00C33CB8"/>
    <w:rsid w:val="00C40933"/>
    <w:rsid w:val="00C42B1B"/>
    <w:rsid w:val="00C546AA"/>
    <w:rsid w:val="00C574DE"/>
    <w:rsid w:val="00C60C3E"/>
    <w:rsid w:val="00C61369"/>
    <w:rsid w:val="00C672FF"/>
    <w:rsid w:val="00C75925"/>
    <w:rsid w:val="00C907BA"/>
    <w:rsid w:val="00C928E9"/>
    <w:rsid w:val="00CA45D8"/>
    <w:rsid w:val="00CA5083"/>
    <w:rsid w:val="00CB2862"/>
    <w:rsid w:val="00CB30DE"/>
    <w:rsid w:val="00CD3DD8"/>
    <w:rsid w:val="00CD646B"/>
    <w:rsid w:val="00CD6970"/>
    <w:rsid w:val="00CD70DD"/>
    <w:rsid w:val="00CE326A"/>
    <w:rsid w:val="00D06C03"/>
    <w:rsid w:val="00D15842"/>
    <w:rsid w:val="00D40CDD"/>
    <w:rsid w:val="00D4243F"/>
    <w:rsid w:val="00D4285C"/>
    <w:rsid w:val="00D43A6D"/>
    <w:rsid w:val="00D44192"/>
    <w:rsid w:val="00D4496B"/>
    <w:rsid w:val="00D60B68"/>
    <w:rsid w:val="00D67C38"/>
    <w:rsid w:val="00D82F09"/>
    <w:rsid w:val="00D935EB"/>
    <w:rsid w:val="00D94087"/>
    <w:rsid w:val="00D96E19"/>
    <w:rsid w:val="00DA7071"/>
    <w:rsid w:val="00DB0B53"/>
    <w:rsid w:val="00DB2F24"/>
    <w:rsid w:val="00DC1230"/>
    <w:rsid w:val="00DC366A"/>
    <w:rsid w:val="00DD1D75"/>
    <w:rsid w:val="00DE3642"/>
    <w:rsid w:val="00DE43FF"/>
    <w:rsid w:val="00DF5730"/>
    <w:rsid w:val="00E0120F"/>
    <w:rsid w:val="00E042FB"/>
    <w:rsid w:val="00E07CFE"/>
    <w:rsid w:val="00E326F4"/>
    <w:rsid w:val="00E346F2"/>
    <w:rsid w:val="00E35BA7"/>
    <w:rsid w:val="00E45646"/>
    <w:rsid w:val="00E5035A"/>
    <w:rsid w:val="00E504C2"/>
    <w:rsid w:val="00E60B21"/>
    <w:rsid w:val="00E610EA"/>
    <w:rsid w:val="00E66310"/>
    <w:rsid w:val="00E6701F"/>
    <w:rsid w:val="00E74A84"/>
    <w:rsid w:val="00E854A2"/>
    <w:rsid w:val="00E926B1"/>
    <w:rsid w:val="00EA5EE6"/>
    <w:rsid w:val="00EB7186"/>
    <w:rsid w:val="00EC110F"/>
    <w:rsid w:val="00EC691C"/>
    <w:rsid w:val="00ED4836"/>
    <w:rsid w:val="00EE51FA"/>
    <w:rsid w:val="00EE6A4F"/>
    <w:rsid w:val="00F01A4B"/>
    <w:rsid w:val="00F17D87"/>
    <w:rsid w:val="00F24063"/>
    <w:rsid w:val="00F31715"/>
    <w:rsid w:val="00F3434E"/>
    <w:rsid w:val="00F35B0E"/>
    <w:rsid w:val="00F50569"/>
    <w:rsid w:val="00F66146"/>
    <w:rsid w:val="00F726A7"/>
    <w:rsid w:val="00F72F0F"/>
    <w:rsid w:val="00F80D72"/>
    <w:rsid w:val="00F83342"/>
    <w:rsid w:val="00FA0687"/>
    <w:rsid w:val="00FB33C9"/>
    <w:rsid w:val="00FB40B2"/>
    <w:rsid w:val="00FC22F3"/>
    <w:rsid w:val="00FD2ED8"/>
    <w:rsid w:val="00FE4A25"/>
    <w:rsid w:val="00FE4A76"/>
    <w:rsid w:val="00FE6EA2"/>
    <w:rsid w:val="00FE7E69"/>
    <w:rsid w:val="08FE600F"/>
    <w:rsid w:val="0BB7F743"/>
    <w:rsid w:val="0C8A8842"/>
    <w:rsid w:val="0D3CB913"/>
    <w:rsid w:val="15B25934"/>
    <w:rsid w:val="19B765EE"/>
    <w:rsid w:val="1DAD449A"/>
    <w:rsid w:val="22EC85A2"/>
    <w:rsid w:val="275F0137"/>
    <w:rsid w:val="2C010771"/>
    <w:rsid w:val="2C8F7524"/>
    <w:rsid w:val="2FB4BF30"/>
    <w:rsid w:val="3029E5F7"/>
    <w:rsid w:val="47C2F7AB"/>
    <w:rsid w:val="4EFBBB01"/>
    <w:rsid w:val="5354CD63"/>
    <w:rsid w:val="555DBE7B"/>
    <w:rsid w:val="5C2A78F1"/>
    <w:rsid w:val="689FA60B"/>
    <w:rsid w:val="71B6A515"/>
    <w:rsid w:val="75D6EB98"/>
    <w:rsid w:val="7914943E"/>
    <w:rsid w:val="7FF52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91CA5"/>
  <w15:chartTrackingRefBased/>
  <w15:docId w15:val="{9FCA0629-B1CC-D34B-BD65-7E80A604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712"/>
    <w:rPr>
      <w:sz w:val="22"/>
    </w:rPr>
  </w:style>
  <w:style w:type="paragraph" w:styleId="Heading1">
    <w:name w:val="heading 1"/>
    <w:basedOn w:val="Normal"/>
    <w:next w:val="Normal"/>
    <w:link w:val="Heading1Char"/>
    <w:uiPriority w:val="9"/>
    <w:qFormat/>
    <w:rsid w:val="008D353D"/>
    <w:pPr>
      <w:keepNext/>
      <w:keepLines/>
      <w:spacing w:before="120" w:after="120"/>
      <w:outlineLvl w:val="0"/>
    </w:pPr>
    <w:rPr>
      <w:rFonts w:ascii="Arial Bold" w:eastAsiaTheme="majorEastAsia" w:hAnsi="Arial Bold" w:cs="Times New Roman (Headings CS)"/>
      <w:b/>
      <w:kern w:val="44"/>
      <w:sz w:val="44"/>
      <w:szCs w:val="32"/>
    </w:rPr>
  </w:style>
  <w:style w:type="paragraph" w:styleId="Heading2">
    <w:name w:val="heading 2"/>
    <w:basedOn w:val="Normal"/>
    <w:next w:val="Normal"/>
    <w:link w:val="Heading2Char"/>
    <w:uiPriority w:val="9"/>
    <w:unhideWhenUsed/>
    <w:qFormat/>
    <w:rsid w:val="008D353D"/>
    <w:pPr>
      <w:keepNext/>
      <w:keepLines/>
      <w:spacing w:before="120"/>
      <w:outlineLvl w:val="1"/>
    </w:pPr>
    <w:rPr>
      <w:rFonts w:ascii="Arial Bold" w:eastAsiaTheme="majorEastAsia" w:hAnsi="Arial Bold" w:cs="Times New Roman (Headings CS)"/>
      <w:b/>
      <w:kern w:val="32"/>
      <w:sz w:val="32"/>
      <w:szCs w:val="26"/>
    </w:rPr>
  </w:style>
  <w:style w:type="paragraph" w:styleId="Heading3">
    <w:name w:val="heading 3"/>
    <w:basedOn w:val="Normal"/>
    <w:next w:val="Normal"/>
    <w:link w:val="Heading3Char"/>
    <w:uiPriority w:val="9"/>
    <w:unhideWhenUsed/>
    <w:qFormat/>
    <w:rsid w:val="008D353D"/>
    <w:pPr>
      <w:keepNext/>
      <w:keepLines/>
      <w:spacing w:before="120"/>
      <w:outlineLvl w:val="2"/>
    </w:pPr>
    <w:rPr>
      <w:rFonts w:ascii="Arial Bold" w:eastAsiaTheme="majorEastAsia" w:hAnsi="Arial Bold" w:cstheme="majorBidi"/>
      <w:b/>
      <w:kern w:val="28"/>
      <w:sz w:val="28"/>
    </w:rPr>
  </w:style>
  <w:style w:type="paragraph" w:styleId="Heading4">
    <w:name w:val="heading 4"/>
    <w:basedOn w:val="Normal"/>
    <w:next w:val="Normal"/>
    <w:link w:val="Heading4Char"/>
    <w:uiPriority w:val="9"/>
    <w:semiHidden/>
    <w:unhideWhenUsed/>
    <w:rsid w:val="008A42D8"/>
    <w:pPr>
      <w:keepNext/>
      <w:keepLines/>
      <w:spacing w:before="40"/>
      <w:outlineLvl w:val="3"/>
    </w:pPr>
    <w:rPr>
      <w:rFonts w:asciiTheme="majorHAnsi" w:eastAsiaTheme="majorEastAsia" w:hAnsiTheme="majorHAnsi" w:cstheme="majorBidi"/>
      <w:iCs/>
      <w:color w:val="131B27" w:themeColor="tex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A71"/>
    <w:pPr>
      <w:tabs>
        <w:tab w:val="center" w:pos="4513"/>
        <w:tab w:val="right" w:pos="9026"/>
      </w:tabs>
    </w:pPr>
  </w:style>
  <w:style w:type="character" w:customStyle="1" w:styleId="HeaderChar">
    <w:name w:val="Header Char"/>
    <w:basedOn w:val="DefaultParagraphFont"/>
    <w:link w:val="Header"/>
    <w:uiPriority w:val="99"/>
    <w:rsid w:val="00255A71"/>
  </w:style>
  <w:style w:type="paragraph" w:styleId="Footer">
    <w:name w:val="footer"/>
    <w:basedOn w:val="Normal"/>
    <w:link w:val="FooterChar"/>
    <w:uiPriority w:val="99"/>
    <w:unhideWhenUsed/>
    <w:rsid w:val="00255A71"/>
    <w:pPr>
      <w:tabs>
        <w:tab w:val="center" w:pos="4513"/>
        <w:tab w:val="right" w:pos="9026"/>
      </w:tabs>
    </w:pPr>
  </w:style>
  <w:style w:type="character" w:customStyle="1" w:styleId="FooterChar">
    <w:name w:val="Footer Char"/>
    <w:basedOn w:val="DefaultParagraphFont"/>
    <w:link w:val="Footer"/>
    <w:uiPriority w:val="99"/>
    <w:rsid w:val="00255A71"/>
  </w:style>
  <w:style w:type="paragraph" w:styleId="NoSpacing">
    <w:name w:val="No Spacing"/>
    <w:link w:val="NoSpacingChar"/>
    <w:uiPriority w:val="1"/>
    <w:rsid w:val="00255A71"/>
    <w:rPr>
      <w:rFonts w:eastAsiaTheme="minorEastAsia"/>
      <w:sz w:val="22"/>
      <w:szCs w:val="22"/>
      <w:lang w:val="en-US" w:eastAsia="zh-CN"/>
    </w:rPr>
  </w:style>
  <w:style w:type="character" w:customStyle="1" w:styleId="NoSpacingChar">
    <w:name w:val="No Spacing Char"/>
    <w:basedOn w:val="DefaultParagraphFont"/>
    <w:link w:val="NoSpacing"/>
    <w:uiPriority w:val="1"/>
    <w:rsid w:val="00255A71"/>
    <w:rPr>
      <w:rFonts w:eastAsiaTheme="minorEastAsia"/>
      <w:sz w:val="22"/>
      <w:szCs w:val="22"/>
      <w:lang w:val="en-US" w:eastAsia="zh-CN"/>
    </w:rPr>
  </w:style>
  <w:style w:type="character" w:styleId="PageNumber">
    <w:name w:val="page number"/>
    <w:basedOn w:val="DefaultParagraphFont"/>
    <w:uiPriority w:val="99"/>
    <w:semiHidden/>
    <w:unhideWhenUsed/>
    <w:rsid w:val="00392211"/>
  </w:style>
  <w:style w:type="character" w:customStyle="1" w:styleId="Heading1Char">
    <w:name w:val="Heading 1 Char"/>
    <w:basedOn w:val="DefaultParagraphFont"/>
    <w:link w:val="Heading1"/>
    <w:uiPriority w:val="9"/>
    <w:rsid w:val="008D353D"/>
    <w:rPr>
      <w:rFonts w:ascii="Arial Bold" w:eastAsiaTheme="majorEastAsia" w:hAnsi="Arial Bold" w:cs="Times New Roman (Headings CS)"/>
      <w:b/>
      <w:kern w:val="44"/>
      <w:sz w:val="44"/>
      <w:szCs w:val="32"/>
    </w:rPr>
  </w:style>
  <w:style w:type="paragraph" w:styleId="Title">
    <w:name w:val="Title"/>
    <w:basedOn w:val="Normal"/>
    <w:next w:val="Normal"/>
    <w:link w:val="TitleChar"/>
    <w:uiPriority w:val="10"/>
    <w:qFormat/>
    <w:rsid w:val="008D353D"/>
    <w:pPr>
      <w:contextualSpacing/>
    </w:pPr>
    <w:rPr>
      <w:rFonts w:ascii="Arial Bold" w:eastAsiaTheme="majorEastAsia" w:hAnsi="Arial Bold" w:cs="Times New Roman (Headings CS)"/>
      <w:b/>
      <w:kern w:val="56"/>
      <w:sz w:val="56"/>
      <w:szCs w:val="56"/>
    </w:rPr>
  </w:style>
  <w:style w:type="character" w:customStyle="1" w:styleId="TitleChar">
    <w:name w:val="Title Char"/>
    <w:basedOn w:val="DefaultParagraphFont"/>
    <w:link w:val="Title"/>
    <w:uiPriority w:val="10"/>
    <w:rsid w:val="008D353D"/>
    <w:rPr>
      <w:rFonts w:ascii="Arial Bold" w:eastAsiaTheme="majorEastAsia" w:hAnsi="Arial Bold" w:cs="Times New Roman (Headings CS)"/>
      <w:b/>
      <w:kern w:val="56"/>
      <w:sz w:val="56"/>
      <w:szCs w:val="56"/>
    </w:rPr>
  </w:style>
  <w:style w:type="character" w:customStyle="1" w:styleId="Heading2Char">
    <w:name w:val="Heading 2 Char"/>
    <w:basedOn w:val="DefaultParagraphFont"/>
    <w:link w:val="Heading2"/>
    <w:uiPriority w:val="9"/>
    <w:rsid w:val="008D353D"/>
    <w:rPr>
      <w:rFonts w:ascii="Arial Bold" w:eastAsiaTheme="majorEastAsia" w:hAnsi="Arial Bold" w:cs="Times New Roman (Headings CS)"/>
      <w:b/>
      <w:kern w:val="32"/>
      <w:sz w:val="32"/>
      <w:szCs w:val="26"/>
    </w:rPr>
  </w:style>
  <w:style w:type="character" w:customStyle="1" w:styleId="Heading3Char">
    <w:name w:val="Heading 3 Char"/>
    <w:basedOn w:val="DefaultParagraphFont"/>
    <w:link w:val="Heading3"/>
    <w:uiPriority w:val="9"/>
    <w:rsid w:val="008D353D"/>
    <w:rPr>
      <w:rFonts w:ascii="Arial Bold" w:eastAsiaTheme="majorEastAsia" w:hAnsi="Arial Bold" w:cstheme="majorBidi"/>
      <w:b/>
      <w:kern w:val="28"/>
      <w:sz w:val="28"/>
    </w:rPr>
  </w:style>
  <w:style w:type="paragraph" w:styleId="TOCHeading">
    <w:name w:val="TOC Heading"/>
    <w:basedOn w:val="Heading1"/>
    <w:next w:val="Normal"/>
    <w:uiPriority w:val="39"/>
    <w:unhideWhenUsed/>
    <w:rsid w:val="00AE7CB8"/>
    <w:pPr>
      <w:spacing w:before="480" w:line="276" w:lineRule="auto"/>
      <w:outlineLvl w:val="9"/>
    </w:pPr>
    <w:rPr>
      <w:b w:val="0"/>
      <w:bCs/>
      <w:sz w:val="28"/>
      <w:szCs w:val="28"/>
      <w:lang w:val="en-US"/>
    </w:rPr>
  </w:style>
  <w:style w:type="paragraph" w:styleId="TOC2">
    <w:name w:val="toc 2"/>
    <w:basedOn w:val="Normal"/>
    <w:next w:val="Normal"/>
    <w:autoRedefine/>
    <w:uiPriority w:val="39"/>
    <w:unhideWhenUsed/>
    <w:rsid w:val="00AE7CB8"/>
    <w:pPr>
      <w:spacing w:before="120"/>
      <w:ind w:left="240"/>
    </w:pPr>
    <w:rPr>
      <w:rFonts w:cstheme="minorHAnsi"/>
      <w:b/>
      <w:bCs/>
      <w:szCs w:val="22"/>
    </w:rPr>
  </w:style>
  <w:style w:type="paragraph" w:styleId="TOC3">
    <w:name w:val="toc 3"/>
    <w:basedOn w:val="Normal"/>
    <w:next w:val="Normal"/>
    <w:autoRedefine/>
    <w:uiPriority w:val="39"/>
    <w:unhideWhenUsed/>
    <w:rsid w:val="00AE7CB8"/>
    <w:pPr>
      <w:ind w:left="480"/>
    </w:pPr>
    <w:rPr>
      <w:rFonts w:cstheme="minorHAnsi"/>
      <w:sz w:val="20"/>
      <w:szCs w:val="20"/>
    </w:rPr>
  </w:style>
  <w:style w:type="character" w:styleId="Hyperlink">
    <w:name w:val="Hyperlink"/>
    <w:basedOn w:val="DefaultParagraphFont"/>
    <w:uiPriority w:val="99"/>
    <w:unhideWhenUsed/>
    <w:rsid w:val="00AE7CB8"/>
    <w:rPr>
      <w:color w:val="005EB8" w:themeColor="hyperlink"/>
      <w:u w:val="single"/>
    </w:rPr>
  </w:style>
  <w:style w:type="paragraph" w:styleId="TOC1">
    <w:name w:val="toc 1"/>
    <w:basedOn w:val="Normal"/>
    <w:next w:val="Normal"/>
    <w:autoRedefine/>
    <w:uiPriority w:val="39"/>
    <w:unhideWhenUsed/>
    <w:rsid w:val="00AE7CB8"/>
    <w:pPr>
      <w:spacing w:before="120"/>
    </w:pPr>
    <w:rPr>
      <w:rFonts w:cstheme="minorHAnsi"/>
      <w:b/>
      <w:bCs/>
      <w:i/>
      <w:iCs/>
    </w:rPr>
  </w:style>
  <w:style w:type="paragraph" w:styleId="TOC4">
    <w:name w:val="toc 4"/>
    <w:basedOn w:val="Normal"/>
    <w:next w:val="Normal"/>
    <w:autoRedefine/>
    <w:uiPriority w:val="39"/>
    <w:semiHidden/>
    <w:unhideWhenUsed/>
    <w:rsid w:val="00AE7CB8"/>
    <w:pPr>
      <w:ind w:left="720"/>
    </w:pPr>
    <w:rPr>
      <w:rFonts w:cstheme="minorHAnsi"/>
      <w:sz w:val="20"/>
      <w:szCs w:val="20"/>
    </w:rPr>
  </w:style>
  <w:style w:type="paragraph" w:styleId="TOC5">
    <w:name w:val="toc 5"/>
    <w:basedOn w:val="Normal"/>
    <w:next w:val="Normal"/>
    <w:autoRedefine/>
    <w:uiPriority w:val="39"/>
    <w:semiHidden/>
    <w:unhideWhenUsed/>
    <w:rsid w:val="00AE7CB8"/>
    <w:pPr>
      <w:ind w:left="960"/>
    </w:pPr>
    <w:rPr>
      <w:rFonts w:cstheme="minorHAnsi"/>
      <w:sz w:val="20"/>
      <w:szCs w:val="20"/>
    </w:rPr>
  </w:style>
  <w:style w:type="paragraph" w:styleId="TOC6">
    <w:name w:val="toc 6"/>
    <w:basedOn w:val="Normal"/>
    <w:next w:val="Normal"/>
    <w:autoRedefine/>
    <w:uiPriority w:val="39"/>
    <w:semiHidden/>
    <w:unhideWhenUsed/>
    <w:rsid w:val="00AE7CB8"/>
    <w:pPr>
      <w:ind w:left="1200"/>
    </w:pPr>
    <w:rPr>
      <w:rFonts w:cstheme="minorHAnsi"/>
      <w:sz w:val="20"/>
      <w:szCs w:val="20"/>
    </w:rPr>
  </w:style>
  <w:style w:type="paragraph" w:styleId="TOC7">
    <w:name w:val="toc 7"/>
    <w:basedOn w:val="Normal"/>
    <w:next w:val="Normal"/>
    <w:autoRedefine/>
    <w:uiPriority w:val="39"/>
    <w:semiHidden/>
    <w:unhideWhenUsed/>
    <w:rsid w:val="00AE7CB8"/>
    <w:pPr>
      <w:ind w:left="1440"/>
    </w:pPr>
    <w:rPr>
      <w:rFonts w:cstheme="minorHAnsi"/>
      <w:sz w:val="20"/>
      <w:szCs w:val="20"/>
    </w:rPr>
  </w:style>
  <w:style w:type="paragraph" w:styleId="TOC8">
    <w:name w:val="toc 8"/>
    <w:basedOn w:val="Normal"/>
    <w:next w:val="Normal"/>
    <w:autoRedefine/>
    <w:uiPriority w:val="39"/>
    <w:semiHidden/>
    <w:unhideWhenUsed/>
    <w:rsid w:val="00AE7CB8"/>
    <w:pPr>
      <w:ind w:left="1680"/>
    </w:pPr>
    <w:rPr>
      <w:rFonts w:cstheme="minorHAnsi"/>
      <w:sz w:val="20"/>
      <w:szCs w:val="20"/>
    </w:rPr>
  </w:style>
  <w:style w:type="paragraph" w:styleId="TOC9">
    <w:name w:val="toc 9"/>
    <w:basedOn w:val="Normal"/>
    <w:next w:val="Normal"/>
    <w:autoRedefine/>
    <w:uiPriority w:val="39"/>
    <w:semiHidden/>
    <w:unhideWhenUsed/>
    <w:rsid w:val="00AE7CB8"/>
    <w:pPr>
      <w:ind w:left="1920"/>
    </w:pPr>
    <w:rPr>
      <w:rFonts w:cstheme="minorHAnsi"/>
      <w:sz w:val="20"/>
      <w:szCs w:val="20"/>
    </w:rPr>
  </w:style>
  <w:style w:type="paragraph" w:customStyle="1" w:styleId="BasicParagraph">
    <w:name w:val="[Basic Paragraph]"/>
    <w:basedOn w:val="Normal"/>
    <w:uiPriority w:val="99"/>
    <w:rsid w:val="00AE7CB8"/>
    <w:pPr>
      <w:suppressAutoHyphens/>
      <w:autoSpaceDE w:val="0"/>
      <w:autoSpaceDN w:val="0"/>
      <w:adjustRightInd w:val="0"/>
      <w:spacing w:after="113" w:line="280" w:lineRule="atLeast"/>
      <w:textAlignment w:val="center"/>
    </w:pPr>
    <w:rPr>
      <w:rFonts w:ascii="Frutiger" w:hAnsi="Frutiger" w:cs="Frutiger"/>
      <w:color w:val="000000"/>
      <w:szCs w:val="22"/>
    </w:rPr>
  </w:style>
  <w:style w:type="table" w:styleId="TableGrid">
    <w:name w:val="Table Grid"/>
    <w:basedOn w:val="TableNormal"/>
    <w:uiPriority w:val="39"/>
    <w:rsid w:val="00AE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F5BC5"/>
    <w:rPr>
      <w:sz w:val="22"/>
    </w:rPr>
    <w:tblPr>
      <w:tblBorders>
        <w:top w:val="single" w:sz="4" w:space="0" w:color="005EB8"/>
        <w:left w:val="single" w:sz="4" w:space="0" w:color="005EB8"/>
        <w:bottom w:val="single" w:sz="4" w:space="0" w:color="005EB8"/>
        <w:right w:val="single" w:sz="4" w:space="0" w:color="005EB8"/>
        <w:insideH w:val="single" w:sz="4" w:space="0" w:color="005EB8"/>
        <w:insideV w:val="single" w:sz="4" w:space="0" w:color="005EB8"/>
      </w:tblBorders>
    </w:tblPr>
    <w:tcPr>
      <w:shd w:val="clear" w:color="auto" w:fill="auto"/>
    </w:tcPr>
    <w:tblStylePr w:type="firstRow">
      <w:rPr>
        <w:b/>
        <w:bCs/>
        <w:color w:val="FFFFFF" w:themeColor="background1"/>
      </w:rPr>
      <w:tblPr/>
      <w:tcPr>
        <w:shd w:val="clear" w:color="auto" w:fill="005EB8"/>
      </w:tcPr>
    </w:tblStylePr>
    <w:tblStylePr w:type="lastRow">
      <w:rPr>
        <w:b/>
        <w:bCs/>
      </w:rPr>
      <w:tblPr/>
      <w:tcPr>
        <w:tcBorders>
          <w:top w:val="double" w:sz="4" w:space="0" w:color="415563" w:themeColor="text1"/>
        </w:tcBorders>
      </w:tcPr>
    </w:tblStylePr>
    <w:tblStylePr w:type="firstCol">
      <w:rPr>
        <w:b/>
        <w:bCs/>
      </w:rPr>
    </w:tblStylePr>
    <w:tblStylePr w:type="lastCol">
      <w:rPr>
        <w:b/>
        <w:bCs/>
      </w:rPr>
    </w:tblStyle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8045BA"/>
    <w:pPr>
      <w:numPr>
        <w:numId w:val="1"/>
      </w:numPr>
      <w:contextualSpacing/>
    </w:pPr>
  </w:style>
  <w:style w:type="character" w:customStyle="1" w:styleId="Heading4Char">
    <w:name w:val="Heading 4 Char"/>
    <w:basedOn w:val="DefaultParagraphFont"/>
    <w:link w:val="Heading4"/>
    <w:uiPriority w:val="9"/>
    <w:semiHidden/>
    <w:rsid w:val="008A42D8"/>
    <w:rPr>
      <w:rFonts w:asciiTheme="majorHAnsi" w:eastAsiaTheme="majorEastAsia" w:hAnsiTheme="majorHAnsi" w:cstheme="majorBidi"/>
      <w:iCs/>
      <w:color w:val="131B27" w:themeColor="text2" w:themeShade="80"/>
      <w:sz w:val="22"/>
    </w:rPr>
  </w:style>
  <w:style w:type="paragraph" w:styleId="Subtitle">
    <w:name w:val="Subtitle"/>
    <w:basedOn w:val="Normal"/>
    <w:next w:val="Normal"/>
    <w:link w:val="SubtitleChar"/>
    <w:uiPriority w:val="11"/>
    <w:qFormat/>
    <w:rsid w:val="005D0712"/>
    <w:pPr>
      <w:numPr>
        <w:ilvl w:val="1"/>
      </w:numPr>
    </w:pPr>
    <w:rPr>
      <w:rFonts w:ascii="Arial Bold" w:eastAsiaTheme="minorEastAsia" w:hAnsi="Arial Bold"/>
      <w:b/>
      <w:kern w:val="32"/>
      <w:sz w:val="32"/>
      <w:szCs w:val="22"/>
    </w:rPr>
  </w:style>
  <w:style w:type="character" w:customStyle="1" w:styleId="SubtitleChar">
    <w:name w:val="Subtitle Char"/>
    <w:basedOn w:val="DefaultParagraphFont"/>
    <w:link w:val="Subtitle"/>
    <w:uiPriority w:val="11"/>
    <w:rsid w:val="005D0712"/>
    <w:rPr>
      <w:rFonts w:ascii="Arial Bold" w:eastAsiaTheme="minorEastAsia" w:hAnsi="Arial Bold"/>
      <w:b/>
      <w:kern w:val="32"/>
      <w:sz w:val="32"/>
      <w:szCs w:val="22"/>
    </w:rPr>
  </w:style>
  <w:style w:type="character" w:styleId="SubtleEmphasis">
    <w:name w:val="Subtle Emphasis"/>
    <w:basedOn w:val="DefaultParagraphFont"/>
    <w:uiPriority w:val="19"/>
    <w:rsid w:val="008045BA"/>
    <w:rPr>
      <w:i/>
      <w:iCs/>
      <w:color w:val="005EB8"/>
    </w:rPr>
  </w:style>
  <w:style w:type="character" w:styleId="IntenseEmphasis">
    <w:name w:val="Intense Emphasis"/>
    <w:basedOn w:val="DefaultParagraphFont"/>
    <w:uiPriority w:val="21"/>
    <w:rsid w:val="002E68C6"/>
    <w:rPr>
      <w:i w:val="0"/>
      <w:iCs/>
      <w:color w:val="202A31" w:themeColor="text1" w:themeShade="80"/>
    </w:rPr>
  </w:style>
  <w:style w:type="character" w:styleId="Strong">
    <w:name w:val="Strong"/>
    <w:aliases w:val="Cover title,Subject heading"/>
    <w:basedOn w:val="DefaultParagraphFont"/>
    <w:uiPriority w:val="22"/>
    <w:qFormat/>
    <w:rsid w:val="005035C6"/>
    <w:rPr>
      <w:rFonts w:ascii="Arial Bold" w:hAnsi="Arial Bold"/>
      <w:b/>
      <w:bCs/>
      <w:color w:val="auto"/>
      <w:spacing w:val="0"/>
      <w:w w:val="100"/>
    </w:rPr>
  </w:style>
  <w:style w:type="paragraph" w:styleId="Quote">
    <w:name w:val="Quote"/>
    <w:basedOn w:val="Normal"/>
    <w:next w:val="Normal"/>
    <w:link w:val="QuoteChar"/>
    <w:uiPriority w:val="29"/>
    <w:rsid w:val="008045BA"/>
    <w:pPr>
      <w:spacing w:before="200" w:after="160"/>
      <w:ind w:left="864" w:right="864"/>
      <w:jc w:val="center"/>
    </w:pPr>
    <w:rPr>
      <w:i/>
      <w:iCs/>
      <w:color w:val="005EB8"/>
    </w:rPr>
  </w:style>
  <w:style w:type="character" w:customStyle="1" w:styleId="QuoteChar">
    <w:name w:val="Quote Char"/>
    <w:basedOn w:val="DefaultParagraphFont"/>
    <w:link w:val="Quote"/>
    <w:uiPriority w:val="29"/>
    <w:rsid w:val="008045BA"/>
    <w:rPr>
      <w:i/>
      <w:iCs/>
      <w:color w:val="005EB8"/>
      <w:sz w:val="22"/>
    </w:rPr>
  </w:style>
  <w:style w:type="paragraph" w:styleId="IntenseQuote">
    <w:name w:val="Intense Quote"/>
    <w:aliases w:val="Cover titles"/>
    <w:basedOn w:val="Normal"/>
    <w:next w:val="Normal"/>
    <w:link w:val="IntenseQuoteChar"/>
    <w:uiPriority w:val="30"/>
    <w:rsid w:val="00992B4A"/>
    <w:pPr>
      <w:pBdr>
        <w:bottom w:val="single" w:sz="4" w:space="10" w:color="005EB8"/>
      </w:pBdr>
      <w:spacing w:before="360"/>
    </w:pPr>
    <w:rPr>
      <w:rFonts w:cs="Times New Roman (Body CS)"/>
      <w:b/>
      <w:iCs/>
      <w:color w:val="005EB8"/>
      <w:spacing w:val="-6"/>
      <w:sz w:val="72"/>
    </w:rPr>
  </w:style>
  <w:style w:type="character" w:customStyle="1" w:styleId="IntenseQuoteChar">
    <w:name w:val="Intense Quote Char"/>
    <w:aliases w:val="Cover titles Char"/>
    <w:basedOn w:val="DefaultParagraphFont"/>
    <w:link w:val="IntenseQuote"/>
    <w:uiPriority w:val="30"/>
    <w:rsid w:val="00992B4A"/>
    <w:rPr>
      <w:rFonts w:cs="Times New Roman (Body CS)"/>
      <w:b/>
      <w:iCs/>
      <w:color w:val="005EB8"/>
      <w:spacing w:val="-6"/>
      <w:sz w:val="72"/>
    </w:rPr>
  </w:style>
  <w:style w:type="character" w:styleId="SubtleReference">
    <w:name w:val="Subtle Reference"/>
    <w:basedOn w:val="DefaultParagraphFont"/>
    <w:uiPriority w:val="31"/>
    <w:rsid w:val="008045BA"/>
    <w:rPr>
      <w:smallCaps/>
      <w:color w:val="005EB8"/>
    </w:rPr>
  </w:style>
  <w:style w:type="character" w:styleId="IntenseReference">
    <w:name w:val="Intense Reference"/>
    <w:basedOn w:val="DefaultParagraphFont"/>
    <w:uiPriority w:val="32"/>
    <w:rsid w:val="008045BA"/>
    <w:rPr>
      <w:b/>
      <w:bCs/>
      <w:smallCaps/>
      <w:color w:val="005EB8"/>
      <w:spacing w:val="5"/>
    </w:rPr>
  </w:style>
  <w:style w:type="character" w:styleId="BookTitle">
    <w:name w:val="Book Title"/>
    <w:basedOn w:val="DefaultParagraphFont"/>
    <w:uiPriority w:val="33"/>
    <w:rsid w:val="008045BA"/>
    <w:rPr>
      <w:b/>
      <w:bCs/>
      <w:i/>
      <w:iCs/>
      <w:color w:val="005EB8"/>
      <w:spacing w:val="5"/>
    </w:rPr>
  </w:style>
  <w:style w:type="table" w:styleId="GridTable4-Accent1">
    <w:name w:val="Grid Table 4 Accent 1"/>
    <w:basedOn w:val="TableNormal"/>
    <w:uiPriority w:val="49"/>
    <w:rsid w:val="0044544A"/>
    <w:tblPr>
      <w:tblStyleRowBandSize w:val="1"/>
      <w:tblStyleColBandSize w:val="1"/>
      <w:tblBorders>
        <w:top w:val="single" w:sz="4" w:space="0" w:color="F1977B" w:themeColor="accent1" w:themeTint="99"/>
        <w:left w:val="single" w:sz="4" w:space="0" w:color="F1977B" w:themeColor="accent1" w:themeTint="99"/>
        <w:bottom w:val="single" w:sz="4" w:space="0" w:color="F1977B" w:themeColor="accent1" w:themeTint="99"/>
        <w:right w:val="single" w:sz="4" w:space="0" w:color="F1977B" w:themeColor="accent1" w:themeTint="99"/>
        <w:insideH w:val="single" w:sz="4" w:space="0" w:color="F1977B" w:themeColor="accent1" w:themeTint="99"/>
        <w:insideV w:val="single" w:sz="4" w:space="0" w:color="F1977B" w:themeColor="accent1" w:themeTint="99"/>
      </w:tblBorders>
    </w:tblPr>
    <w:tblStylePr w:type="firstRow">
      <w:rPr>
        <w:b/>
        <w:bCs/>
        <w:color w:val="FFFFFF" w:themeColor="background1"/>
      </w:rPr>
      <w:tblPr/>
      <w:tcPr>
        <w:tcBorders>
          <w:top w:val="single" w:sz="4" w:space="0" w:color="E95324" w:themeColor="accent1"/>
          <w:left w:val="single" w:sz="4" w:space="0" w:color="E95324" w:themeColor="accent1"/>
          <w:bottom w:val="single" w:sz="4" w:space="0" w:color="E95324" w:themeColor="accent1"/>
          <w:right w:val="single" w:sz="4" w:space="0" w:color="E95324" w:themeColor="accent1"/>
          <w:insideH w:val="nil"/>
          <w:insideV w:val="nil"/>
        </w:tcBorders>
        <w:shd w:val="clear" w:color="auto" w:fill="E95324" w:themeFill="accent1"/>
      </w:tcPr>
    </w:tblStylePr>
    <w:tblStylePr w:type="lastRow">
      <w:rPr>
        <w:b/>
        <w:bCs/>
      </w:rPr>
      <w:tblPr/>
      <w:tcPr>
        <w:tcBorders>
          <w:top w:val="double" w:sz="4" w:space="0" w:color="E95324" w:themeColor="accent1"/>
        </w:tcBorders>
      </w:tcPr>
    </w:tblStylePr>
    <w:tblStylePr w:type="firstCol">
      <w:rPr>
        <w:b/>
        <w:bCs/>
      </w:rPr>
    </w:tblStylePr>
    <w:tblStylePr w:type="lastCol">
      <w:rPr>
        <w:b/>
        <w:bCs/>
      </w:rPr>
    </w:tblStylePr>
    <w:tblStylePr w:type="band1Vert">
      <w:tblPr/>
      <w:tcPr>
        <w:shd w:val="clear" w:color="auto" w:fill="FADCD3" w:themeFill="accent1" w:themeFillTint="33"/>
      </w:tcPr>
    </w:tblStylePr>
    <w:tblStylePr w:type="band1Horz">
      <w:tblPr/>
      <w:tcPr>
        <w:shd w:val="clear" w:color="auto" w:fill="FADCD3" w:themeFill="accent1" w:themeFillTint="33"/>
      </w:tcPr>
    </w:tblStylePr>
  </w:style>
  <w:style w:type="character" w:styleId="FollowedHyperlink">
    <w:name w:val="FollowedHyperlink"/>
    <w:basedOn w:val="DefaultParagraphFont"/>
    <w:uiPriority w:val="99"/>
    <w:semiHidden/>
    <w:unhideWhenUsed/>
    <w:rsid w:val="009C7CD5"/>
    <w:rPr>
      <w:color w:val="00A399" w:themeColor="followedHyperlink"/>
      <w:u w:val="single"/>
    </w:rPr>
  </w:style>
  <w:style w:type="character" w:styleId="UnresolvedMention">
    <w:name w:val="Unresolved Mention"/>
    <w:basedOn w:val="DefaultParagraphFont"/>
    <w:uiPriority w:val="99"/>
    <w:semiHidden/>
    <w:unhideWhenUsed/>
    <w:rsid w:val="00575F2F"/>
    <w:rPr>
      <w:color w:val="605E5C"/>
      <w:shd w:val="clear" w:color="auto" w:fill="E1DFDD"/>
    </w:rPr>
  </w:style>
  <w:style w:type="character" w:styleId="CommentReference">
    <w:name w:val="annotation reference"/>
    <w:basedOn w:val="DefaultParagraphFont"/>
    <w:uiPriority w:val="99"/>
    <w:semiHidden/>
    <w:unhideWhenUsed/>
    <w:rsid w:val="0041249E"/>
    <w:rPr>
      <w:sz w:val="16"/>
      <w:szCs w:val="16"/>
    </w:rPr>
  </w:style>
  <w:style w:type="paragraph" w:styleId="CommentText">
    <w:name w:val="annotation text"/>
    <w:basedOn w:val="Normal"/>
    <w:link w:val="CommentTextChar"/>
    <w:uiPriority w:val="99"/>
    <w:unhideWhenUsed/>
    <w:rsid w:val="0041249E"/>
    <w:rPr>
      <w:sz w:val="20"/>
      <w:szCs w:val="20"/>
    </w:rPr>
  </w:style>
  <w:style w:type="character" w:customStyle="1" w:styleId="CommentTextChar">
    <w:name w:val="Comment Text Char"/>
    <w:basedOn w:val="DefaultParagraphFont"/>
    <w:link w:val="CommentText"/>
    <w:uiPriority w:val="99"/>
    <w:rsid w:val="0041249E"/>
    <w:rPr>
      <w:sz w:val="20"/>
      <w:szCs w:val="20"/>
    </w:rPr>
  </w:style>
  <w:style w:type="paragraph" w:styleId="CommentSubject">
    <w:name w:val="annotation subject"/>
    <w:basedOn w:val="CommentText"/>
    <w:next w:val="CommentText"/>
    <w:link w:val="CommentSubjectChar"/>
    <w:uiPriority w:val="99"/>
    <w:semiHidden/>
    <w:unhideWhenUsed/>
    <w:rsid w:val="0041249E"/>
    <w:rPr>
      <w:b/>
      <w:bCs/>
    </w:rPr>
  </w:style>
  <w:style w:type="character" w:customStyle="1" w:styleId="CommentSubjectChar">
    <w:name w:val="Comment Subject Char"/>
    <w:basedOn w:val="CommentTextChar"/>
    <w:link w:val="CommentSubject"/>
    <w:uiPriority w:val="99"/>
    <w:semiHidden/>
    <w:rsid w:val="0041249E"/>
    <w:rPr>
      <w:b/>
      <w:bCs/>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7C3E6C"/>
    <w:rPr>
      <w:sz w:val="22"/>
    </w:rPr>
  </w:style>
  <w:style w:type="paragraph" w:styleId="Revision">
    <w:name w:val="Revision"/>
    <w:hidden/>
    <w:uiPriority w:val="99"/>
    <w:semiHidden/>
    <w:rsid w:val="001C11E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876999">
      <w:bodyDiv w:val="1"/>
      <w:marLeft w:val="0"/>
      <w:marRight w:val="0"/>
      <w:marTop w:val="0"/>
      <w:marBottom w:val="0"/>
      <w:divBdr>
        <w:top w:val="none" w:sz="0" w:space="0" w:color="auto"/>
        <w:left w:val="none" w:sz="0" w:space="0" w:color="auto"/>
        <w:bottom w:val="none" w:sz="0" w:space="0" w:color="auto"/>
        <w:right w:val="none" w:sz="0" w:space="0" w:color="auto"/>
      </w:divBdr>
    </w:div>
    <w:div w:id="747270383">
      <w:bodyDiv w:val="1"/>
      <w:marLeft w:val="0"/>
      <w:marRight w:val="0"/>
      <w:marTop w:val="0"/>
      <w:marBottom w:val="0"/>
      <w:divBdr>
        <w:top w:val="none" w:sz="0" w:space="0" w:color="auto"/>
        <w:left w:val="none" w:sz="0" w:space="0" w:color="auto"/>
        <w:bottom w:val="none" w:sz="0" w:space="0" w:color="auto"/>
        <w:right w:val="none" w:sz="0" w:space="0" w:color="auto"/>
      </w:divBdr>
    </w:div>
    <w:div w:id="163637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bsa.nhs.uk/pharmacies-gp-practices-and-appliance-contractors/serious-shortage-protocols-ssps" TargetMode="External"/><Relationship Id="rId18" Type="http://schemas.openxmlformats.org/officeDocument/2006/relationships/hyperlink" Target="https://nppg.org.uk/wp-content/uploads/2024/08/NPPG-Position-Statement-PERT-V1.pdf?UNLID=231770520249542647" TargetMode="External"/><Relationship Id="rId26" Type="http://schemas.openxmlformats.org/officeDocument/2006/relationships/hyperlink" Target="https://oxfordpharmacystore.co.uk/wp-content/uploads/2024/09/Pancreatin-10000-Ph.Eur_.-units-of-lipase-EC-capsules-Pangrol-Berlin-Chemie-Germany-Translated-PIL.pdf" TargetMode="External"/><Relationship Id="rId39" Type="http://schemas.openxmlformats.org/officeDocument/2006/relationships/hyperlink" Target="https://nppg.org.uk/wp-content/uploads/2024/08/NPPG-Position-Statement-PERT-V1.pdf?UNLID=231770520249542647" TargetMode="External"/><Relationship Id="rId21" Type="http://schemas.openxmlformats.org/officeDocument/2006/relationships/hyperlink" Target="https://oxfordpharmacystore.co.uk/ordering-info/" TargetMode="External"/><Relationship Id="rId34" Type="http://schemas.openxmlformats.org/officeDocument/2006/relationships/hyperlink" Target="https://www.cas.mhra.gov.uk/ViewandAcknowledgment/ViewAlert.aspx?AlertID=103253" TargetMode="External"/><Relationship Id="rId42" Type="http://schemas.openxmlformats.org/officeDocument/2006/relationships/hyperlink" Target="https://www.medicines.org.uk/emc/product/1167/pil" TargetMode="Externa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mc-uk.org/professional-standards/the-professional-standards/good-practice-in-prescribing-and-managing-medicines-and-devices/prescribing-unlicensed-medicines" TargetMode="External"/><Relationship Id="rId29" Type="http://schemas.openxmlformats.org/officeDocument/2006/relationships/hyperlink" Target="https://oxfordpharmacystore.co.uk/wp-content/uploads/2024/09/Pancreatin-25000-Ph.Eur_.-units-of-lipase-EC-capsules-Pangrol-Berlin-Chemie-Germany-Translated-PIL.pdf" TargetMode="External"/><Relationship Id="rId11" Type="http://schemas.openxmlformats.org/officeDocument/2006/relationships/hyperlink" Target="https://www.publications.scot.nhs.uk/files/dc20241218pert.pdf" TargetMode="External"/><Relationship Id="rId24" Type="http://schemas.openxmlformats.org/officeDocument/2006/relationships/hyperlink" Target="mailto:ops.orders@oxfordhealth.nhs.uk" TargetMode="External"/><Relationship Id="rId32" Type="http://schemas.openxmlformats.org/officeDocument/2006/relationships/hyperlink" Target="https://record.learn-from-patient-safety-events.nhs.uk/" TargetMode="External"/><Relationship Id="rId37" Type="http://schemas.openxmlformats.org/officeDocument/2006/relationships/hyperlink" Target="https://www.nhsbsa.nhs.uk/pharmacies-gp-practices-and-appliance-contractors/serious-shortage-protocols-ssps" TargetMode="External"/><Relationship Id="rId40" Type="http://schemas.openxmlformats.org/officeDocument/2006/relationships/hyperlink" Target="https://cpe.org.uk/our-news/supply-of-unlicensed-pert-preparations/"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pe.org.uk/our-news/supply-of-unlicensed-pert-preparations/" TargetMode="External"/><Relationship Id="rId23" Type="http://schemas.openxmlformats.org/officeDocument/2006/relationships/hyperlink" Target="mailto:ops.orders@oxfordhealth.nhs.uk" TargetMode="External"/><Relationship Id="rId28" Type="http://schemas.openxmlformats.org/officeDocument/2006/relationships/hyperlink" Target="https://www.cpsc.org.uk/application/files/9217/2865/3371/Pancreatin_25000_Ph.Eur._units_of_lipase_EC_capsules_Pangrol_-_Berlin_Chemie_-_Germany_-_Translated_PIL.pdf" TargetMode="External"/><Relationship Id="rId36" Type="http://schemas.openxmlformats.org/officeDocument/2006/relationships/hyperlink" Target="https://oxfordpharmacystore.co.uk/"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hsbsa.nhs.uk/pharmacies-gp-practices-and-appliance-contractors/serious-shortage-protocols-ssps" TargetMode="External"/><Relationship Id="rId31" Type="http://schemas.openxmlformats.org/officeDocument/2006/relationships/hyperlink" Target="https://yellowcard.mhra.gov.uk/"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s.nhs.uk/articles/prescribing-and-ordering-available-pancreatic-enzyme-replacement-therapies/" TargetMode="External"/><Relationship Id="rId22" Type="http://schemas.openxmlformats.org/officeDocument/2006/relationships/hyperlink" Target="https://oxfordpharmacystore.co.uk/register-for-a-new-cccount/" TargetMode="External"/><Relationship Id="rId27" Type="http://schemas.openxmlformats.org/officeDocument/2006/relationships/hyperlink" Target="https://oxfordpharmacystore.co.uk/wp-content/uploads/2024/09/Pancreatin-25000-Ph.Eur_.-units-of-lipase-EC-capsules-Pangrol-Berlin-Chemie-Germany-Translated-PIL.pdf" TargetMode="External"/><Relationship Id="rId30" Type="http://schemas.openxmlformats.org/officeDocument/2006/relationships/hyperlink" Target="https://faq.nhsbsa.nhs.uk/knowledgebase/article/KA-03292/en-us" TargetMode="External"/><Relationship Id="rId35" Type="http://schemas.openxmlformats.org/officeDocument/2006/relationships/hyperlink" Target="https://www.sps.nhs.uk/home/tools/medicines-supply-tool/"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as.mhra.gov.uk/ViewandAcknowledgment/ViewAlert.aspx?AlertID=103260" TargetMode="External"/><Relationship Id="rId17" Type="http://schemas.openxmlformats.org/officeDocument/2006/relationships/hyperlink" Target="https://www.psgbi.org/position-statement-pert-shortage/" TargetMode="External"/><Relationship Id="rId25" Type="http://schemas.openxmlformats.org/officeDocument/2006/relationships/hyperlink" Target="https://oxfordpharmacystore.co.uk/ordering-info/" TargetMode="External"/><Relationship Id="rId33" Type="http://schemas.openxmlformats.org/officeDocument/2006/relationships/hyperlink" Target="https://www.cas.mhra.gov.uk/ViewandAcknowledgment/ViewAlert.aspx?AlertID=103260" TargetMode="External"/><Relationship Id="rId38" Type="http://schemas.openxmlformats.org/officeDocument/2006/relationships/hyperlink" Target="https://www.psgbi.org/position-statement-pert-shortage/" TargetMode="External"/><Relationship Id="rId46" Type="http://schemas.openxmlformats.org/officeDocument/2006/relationships/header" Target="header2.xml"/><Relationship Id="rId20" Type="http://schemas.openxmlformats.org/officeDocument/2006/relationships/hyperlink" Target="https://www.cas.mhra.gov.uk/ViewandAcknowledgment/ViewAlert.aspx?AlertID=103253" TargetMode="External"/><Relationship Id="rId41" Type="http://schemas.openxmlformats.org/officeDocument/2006/relationships/hyperlink" Target="https://cpsc.org.uk/download_file/view/4869/3285.%20Accessed%20on%2006/02/25"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415563"/>
      </a:dk1>
      <a:lt1>
        <a:srgbClr val="FFFFFF"/>
      </a:lt1>
      <a:dk2>
        <a:srgbClr val="26364F"/>
      </a:dk2>
      <a:lt2>
        <a:srgbClr val="FFFFFF"/>
      </a:lt2>
      <a:accent1>
        <a:srgbClr val="E95324"/>
      </a:accent1>
      <a:accent2>
        <a:srgbClr val="00A399"/>
      </a:accent2>
      <a:accent3>
        <a:srgbClr val="FFB81C"/>
      </a:accent3>
      <a:accent4>
        <a:srgbClr val="AE2473"/>
      </a:accent4>
      <a:accent5>
        <a:srgbClr val="5B9BD5"/>
      </a:accent5>
      <a:accent6>
        <a:srgbClr val="768692"/>
      </a:accent6>
      <a:hlink>
        <a:srgbClr val="005EB8"/>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DC5ABB010A3409C1B0BC61D57ADCA" ma:contentTypeVersion="21" ma:contentTypeDescription="Create a new document." ma:contentTypeScope="" ma:versionID="de4d9e4f8b9850937ee9781a07304dd1">
  <xsd:schema xmlns:xsd="http://www.w3.org/2001/XMLSchema" xmlns:xs="http://www.w3.org/2001/XMLSchema" xmlns:p="http://schemas.microsoft.com/office/2006/metadata/properties" xmlns:ns1="http://schemas.microsoft.com/sharepoint/v3" xmlns:ns2="3569846d-3f8b-41c8-820d-2ff9739a3570" xmlns:ns3="bc5f7bc9-01bf-408b-9c3e-f1a9958c1e1c" targetNamespace="http://schemas.microsoft.com/office/2006/metadata/properties" ma:root="true" ma:fieldsID="2093666930cf5327de00b9881393ac92" ns1:_="" ns2:_="" ns3:_="">
    <xsd:import namespace="http://schemas.microsoft.com/sharepoint/v3"/>
    <xsd:import namespace="3569846d-3f8b-41c8-820d-2ff9739a3570"/>
    <xsd:import namespace="bc5f7bc9-01bf-408b-9c3e-f1a9958c1e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DocumentOwner" minOccurs="0"/>
                <xsd:element ref="ns2:Context"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9846d-3f8b-41c8-820d-2ff9739a3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DocumentOwner" ma:index="23"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xt" ma:index="24" nillable="true" ma:displayName="Context" ma:format="Dropdown" ma:internalName="Context">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f7bc9-01bf-408b-9c3e-f1a9958c1e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2fe2ea-da89-4a5f-8144-cdef18776a3a}" ma:internalName="TaxCatchAll" ma:showField="CatchAllData" ma:web="bc5f7bc9-01bf-408b-9c3e-f1a9958c1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Owner xmlns="3569846d-3f8b-41c8-820d-2ff9739a3570">
      <UserInfo>
        <DisplayName/>
        <AccountId xsi:nil="true"/>
        <AccountType/>
      </UserInfo>
    </DocumentOwner>
    <Context xmlns="3569846d-3f8b-41c8-820d-2ff9739a3570" xsi:nil="true"/>
    <TaxCatchAll xmlns="bc5f7bc9-01bf-408b-9c3e-f1a9958c1e1c" xsi:nil="true"/>
    <lcf76f155ced4ddcb4097134ff3c332f xmlns="3569846d-3f8b-41c8-820d-2ff9739a3570">
      <Terms xmlns="http://schemas.microsoft.com/office/infopath/2007/PartnerControls"/>
    </lcf76f155ced4ddcb4097134ff3c332f>
    <_ip_UnifiedCompliancePolicyProperties xmlns="http://schemas.microsoft.com/sharepoint/v3" xsi:nil="true"/>
    <_Flow_SignoffStatus xmlns="3569846d-3f8b-41c8-820d-2ff9739a3570" xsi:nil="true"/>
  </documentManagement>
</p:properties>
</file>

<file path=customXml/itemProps1.xml><?xml version="1.0" encoding="utf-8"?>
<ds:datastoreItem xmlns:ds="http://schemas.openxmlformats.org/officeDocument/2006/customXml" ds:itemID="{486DE0D0-2314-4423-B0AC-691E02595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69846d-3f8b-41c8-820d-2ff9739a3570"/>
    <ds:schemaRef ds:uri="bc5f7bc9-01bf-408b-9c3e-f1a9958c1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8CBF0-0A6B-4E7F-97C4-950563BE2866}">
  <ds:schemaRefs>
    <ds:schemaRef ds:uri="http://schemas.openxmlformats.org/officeDocument/2006/bibliography"/>
  </ds:schemaRefs>
</ds:datastoreItem>
</file>

<file path=customXml/itemProps3.xml><?xml version="1.0" encoding="utf-8"?>
<ds:datastoreItem xmlns:ds="http://schemas.openxmlformats.org/officeDocument/2006/customXml" ds:itemID="{B98BF623-F998-4BD6-86DD-E6B560697277}">
  <ds:schemaRefs>
    <ds:schemaRef ds:uri="http://schemas.microsoft.com/sharepoint/v3/contenttype/forms"/>
  </ds:schemaRefs>
</ds:datastoreItem>
</file>

<file path=customXml/itemProps4.xml><?xml version="1.0" encoding="utf-8"?>
<ds:datastoreItem xmlns:ds="http://schemas.openxmlformats.org/officeDocument/2006/customXml" ds:itemID="{FE1078D4-23C0-4504-99D5-A4E33574BE27}">
  <ds:schemaRefs>
    <ds:schemaRef ds:uri="http://schemas.microsoft.com/office/2006/metadata/properties"/>
    <ds:schemaRef ds:uri="http://schemas.microsoft.com/office/infopath/2007/PartnerControls"/>
    <ds:schemaRef ds:uri="http://schemas.microsoft.com/sharepoint/v3"/>
    <ds:schemaRef ds:uri="3569846d-3f8b-41c8-820d-2ff9739a3570"/>
    <ds:schemaRef ds:uri="bc5f7bc9-01bf-408b-9c3e-f1a9958c1e1c"/>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50</TotalTime>
  <Pages>4</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15276</CharactersWithSpaces>
  <SharedDoc>false</SharedDoc>
  <HLinks>
    <vt:vector size="132" baseType="variant">
      <vt:variant>
        <vt:i4>7929970</vt:i4>
      </vt:variant>
      <vt:variant>
        <vt:i4>63</vt:i4>
      </vt:variant>
      <vt:variant>
        <vt:i4>0</vt:i4>
      </vt:variant>
      <vt:variant>
        <vt:i4>5</vt:i4>
      </vt:variant>
      <vt:variant>
        <vt:lpwstr>https://record.learn-from-patient-safety-events.nhs.uk/</vt:lpwstr>
      </vt:variant>
      <vt:variant>
        <vt:lpwstr/>
      </vt:variant>
      <vt:variant>
        <vt:i4>7405672</vt:i4>
      </vt:variant>
      <vt:variant>
        <vt:i4>60</vt:i4>
      </vt:variant>
      <vt:variant>
        <vt:i4>0</vt:i4>
      </vt:variant>
      <vt:variant>
        <vt:i4>5</vt:i4>
      </vt:variant>
      <vt:variant>
        <vt:lpwstr>https://yellowcard.mhra.gov.uk/</vt:lpwstr>
      </vt:variant>
      <vt:variant>
        <vt:lpwstr/>
      </vt:variant>
      <vt:variant>
        <vt:i4>6619196</vt:i4>
      </vt:variant>
      <vt:variant>
        <vt:i4>57</vt:i4>
      </vt:variant>
      <vt:variant>
        <vt:i4>0</vt:i4>
      </vt:variant>
      <vt:variant>
        <vt:i4>5</vt:i4>
      </vt:variant>
      <vt:variant>
        <vt:lpwstr>https://faq.nhsbsa.nhs.uk/knowledgebase/article/KA-03292/en-us</vt:lpwstr>
      </vt:variant>
      <vt:variant>
        <vt:lpwstr/>
      </vt:variant>
      <vt:variant>
        <vt:i4>7077978</vt:i4>
      </vt:variant>
      <vt:variant>
        <vt:i4>54</vt:i4>
      </vt:variant>
      <vt:variant>
        <vt:i4>0</vt:i4>
      </vt:variant>
      <vt:variant>
        <vt:i4>5</vt:i4>
      </vt:variant>
      <vt:variant>
        <vt:lpwstr>https://oxfordpharmacystore.co.uk/wp-content/uploads/2024/09/Pancreatin-25000-Ph.Eur_.-units-of-lipase-EC-capsules-Pangrol-Berlin-Chemie-Germany-Translated-PIL.pdf</vt:lpwstr>
      </vt:variant>
      <vt:variant>
        <vt:lpwstr/>
      </vt:variant>
      <vt:variant>
        <vt:i4>5046296</vt:i4>
      </vt:variant>
      <vt:variant>
        <vt:i4>51</vt:i4>
      </vt:variant>
      <vt:variant>
        <vt:i4>0</vt:i4>
      </vt:variant>
      <vt:variant>
        <vt:i4>5</vt:i4>
      </vt:variant>
      <vt:variant>
        <vt:lpwstr>https://www.cpsc.org.uk/application/files/9217/2865/3371/Pancreatin_25000_Ph.Eur._units_of_lipase_EC_capsules_Pangrol_-_Berlin_Chemie_-_Germany_-_Translated_PIL.pdf</vt:lpwstr>
      </vt:variant>
      <vt:variant>
        <vt:lpwstr/>
      </vt:variant>
      <vt:variant>
        <vt:i4>7077978</vt:i4>
      </vt:variant>
      <vt:variant>
        <vt:i4>48</vt:i4>
      </vt:variant>
      <vt:variant>
        <vt:i4>0</vt:i4>
      </vt:variant>
      <vt:variant>
        <vt:i4>5</vt:i4>
      </vt:variant>
      <vt:variant>
        <vt:lpwstr>https://oxfordpharmacystore.co.uk/wp-content/uploads/2024/09/Pancreatin-25000-Ph.Eur_.-units-of-lipase-EC-capsules-Pangrol-Berlin-Chemie-Germany-Translated-PIL.pdf</vt:lpwstr>
      </vt:variant>
      <vt:variant>
        <vt:lpwstr/>
      </vt:variant>
      <vt:variant>
        <vt:i4>6881369</vt:i4>
      </vt:variant>
      <vt:variant>
        <vt:i4>45</vt:i4>
      </vt:variant>
      <vt:variant>
        <vt:i4>0</vt:i4>
      </vt:variant>
      <vt:variant>
        <vt:i4>5</vt:i4>
      </vt:variant>
      <vt:variant>
        <vt:lpwstr>https://oxfordpharmacystore.co.uk/wp-content/uploads/2024/09/Pancreatin-10000-Ph.Eur_.-units-of-lipase-EC-capsules-Pangrol-Berlin-Chemie-Germany-Translated-PIL.pdf</vt:lpwstr>
      </vt:variant>
      <vt:variant>
        <vt:lpwstr/>
      </vt:variant>
      <vt:variant>
        <vt:i4>4456512</vt:i4>
      </vt:variant>
      <vt:variant>
        <vt:i4>42</vt:i4>
      </vt:variant>
      <vt:variant>
        <vt:i4>0</vt:i4>
      </vt:variant>
      <vt:variant>
        <vt:i4>5</vt:i4>
      </vt:variant>
      <vt:variant>
        <vt:lpwstr>https://oxfordpharmacystore.co.uk/ordering-info/</vt:lpwstr>
      </vt:variant>
      <vt:variant>
        <vt:lpwstr/>
      </vt:variant>
      <vt:variant>
        <vt:i4>3997726</vt:i4>
      </vt:variant>
      <vt:variant>
        <vt:i4>39</vt:i4>
      </vt:variant>
      <vt:variant>
        <vt:i4>0</vt:i4>
      </vt:variant>
      <vt:variant>
        <vt:i4>5</vt:i4>
      </vt:variant>
      <vt:variant>
        <vt:lpwstr>mailto:ops.orders@oxfordhealth.nhs.uk</vt:lpwstr>
      </vt:variant>
      <vt:variant>
        <vt:lpwstr/>
      </vt:variant>
      <vt:variant>
        <vt:i4>3997726</vt:i4>
      </vt:variant>
      <vt:variant>
        <vt:i4>36</vt:i4>
      </vt:variant>
      <vt:variant>
        <vt:i4>0</vt:i4>
      </vt:variant>
      <vt:variant>
        <vt:i4>5</vt:i4>
      </vt:variant>
      <vt:variant>
        <vt:lpwstr>mailto:ops.orders@oxfordhealth.nhs.uk</vt:lpwstr>
      </vt:variant>
      <vt:variant>
        <vt:lpwstr/>
      </vt:variant>
      <vt:variant>
        <vt:i4>1703952</vt:i4>
      </vt:variant>
      <vt:variant>
        <vt:i4>33</vt:i4>
      </vt:variant>
      <vt:variant>
        <vt:i4>0</vt:i4>
      </vt:variant>
      <vt:variant>
        <vt:i4>5</vt:i4>
      </vt:variant>
      <vt:variant>
        <vt:lpwstr>https://oxfordpharmacystore.co.uk/register-for-a-new-cccount/</vt:lpwstr>
      </vt:variant>
      <vt:variant>
        <vt:lpwstr/>
      </vt:variant>
      <vt:variant>
        <vt:i4>4456512</vt:i4>
      </vt:variant>
      <vt:variant>
        <vt:i4>30</vt:i4>
      </vt:variant>
      <vt:variant>
        <vt:i4>0</vt:i4>
      </vt:variant>
      <vt:variant>
        <vt:i4>5</vt:i4>
      </vt:variant>
      <vt:variant>
        <vt:lpwstr>https://oxfordpharmacystore.co.uk/ordering-info/</vt:lpwstr>
      </vt:variant>
      <vt:variant>
        <vt:lpwstr/>
      </vt:variant>
      <vt:variant>
        <vt:i4>7471153</vt:i4>
      </vt:variant>
      <vt:variant>
        <vt:i4>27</vt:i4>
      </vt:variant>
      <vt:variant>
        <vt:i4>0</vt:i4>
      </vt:variant>
      <vt:variant>
        <vt:i4>5</vt:i4>
      </vt:variant>
      <vt:variant>
        <vt:lpwstr>https://www.cas.mhra.gov.uk/ViewandAcknowledgment/ViewAlert.aspx?AlertID=103253</vt:lpwstr>
      </vt:variant>
      <vt:variant>
        <vt:lpwstr/>
      </vt:variant>
      <vt:variant>
        <vt:i4>7929953</vt:i4>
      </vt:variant>
      <vt:variant>
        <vt:i4>24</vt:i4>
      </vt:variant>
      <vt:variant>
        <vt:i4>0</vt:i4>
      </vt:variant>
      <vt:variant>
        <vt:i4>5</vt:i4>
      </vt:variant>
      <vt:variant>
        <vt:lpwstr>https://www.nhsbsa.nhs.uk/pharmacies-gp-practices-and-appliance-contractors/serious-shortage-protocols-ssps</vt:lpwstr>
      </vt:variant>
      <vt:variant>
        <vt:lpwstr/>
      </vt:variant>
      <vt:variant>
        <vt:i4>3342371</vt:i4>
      </vt:variant>
      <vt:variant>
        <vt:i4>21</vt:i4>
      </vt:variant>
      <vt:variant>
        <vt:i4>0</vt:i4>
      </vt:variant>
      <vt:variant>
        <vt:i4>5</vt:i4>
      </vt:variant>
      <vt:variant>
        <vt:lpwstr>https://nppg.org.uk/wp-content/uploads/2024/08/NPPG-Position-Statement-PERT-V1.pdf?UNLID=231770520249542647</vt:lpwstr>
      </vt:variant>
      <vt:variant>
        <vt:lpwstr/>
      </vt:variant>
      <vt:variant>
        <vt:i4>8126515</vt:i4>
      </vt:variant>
      <vt:variant>
        <vt:i4>18</vt:i4>
      </vt:variant>
      <vt:variant>
        <vt:i4>0</vt:i4>
      </vt:variant>
      <vt:variant>
        <vt:i4>5</vt:i4>
      </vt:variant>
      <vt:variant>
        <vt:lpwstr>https://www.psgbi.org/position-statement-pert-shortage/</vt:lpwstr>
      </vt:variant>
      <vt:variant>
        <vt:lpwstr/>
      </vt:variant>
      <vt:variant>
        <vt:i4>1114180</vt:i4>
      </vt:variant>
      <vt:variant>
        <vt:i4>15</vt:i4>
      </vt:variant>
      <vt:variant>
        <vt:i4>0</vt:i4>
      </vt:variant>
      <vt:variant>
        <vt:i4>5</vt:i4>
      </vt:variant>
      <vt:variant>
        <vt:lpwstr>https://www.gmc-uk.org/professional-standards/the-professional-standards/good-practice-in-prescribing-and-managing-medicines-and-devices/prescribing-unlicensed-medicines</vt:lpwstr>
      </vt:variant>
      <vt:variant>
        <vt:lpwstr/>
      </vt:variant>
      <vt:variant>
        <vt:i4>3080225</vt:i4>
      </vt:variant>
      <vt:variant>
        <vt:i4>12</vt:i4>
      </vt:variant>
      <vt:variant>
        <vt:i4>0</vt:i4>
      </vt:variant>
      <vt:variant>
        <vt:i4>5</vt:i4>
      </vt:variant>
      <vt:variant>
        <vt:lpwstr>https://cpe.org.uk/our-news/supply-of-unlicensed-pert-preparations/</vt:lpwstr>
      </vt:variant>
      <vt:variant>
        <vt:lpwstr/>
      </vt:variant>
      <vt:variant>
        <vt:i4>2228342</vt:i4>
      </vt:variant>
      <vt:variant>
        <vt:i4>9</vt:i4>
      </vt:variant>
      <vt:variant>
        <vt:i4>0</vt:i4>
      </vt:variant>
      <vt:variant>
        <vt:i4>5</vt:i4>
      </vt:variant>
      <vt:variant>
        <vt:lpwstr>https://www.sps.nhs.uk/articles/prescribing-and-ordering-available-pancreatic-enzyme-replacement-therapies/</vt:lpwstr>
      </vt:variant>
      <vt:variant>
        <vt:lpwstr/>
      </vt:variant>
      <vt:variant>
        <vt:i4>7929953</vt:i4>
      </vt:variant>
      <vt:variant>
        <vt:i4>6</vt:i4>
      </vt:variant>
      <vt:variant>
        <vt:i4>0</vt:i4>
      </vt:variant>
      <vt:variant>
        <vt:i4>5</vt:i4>
      </vt:variant>
      <vt:variant>
        <vt:lpwstr>https://www.nhsbsa.nhs.uk/pharmacies-gp-practices-and-appliance-contractors/serious-shortage-protocols-ssps</vt:lpwstr>
      </vt:variant>
      <vt:variant>
        <vt:lpwstr/>
      </vt:variant>
      <vt:variant>
        <vt:i4>7405617</vt:i4>
      </vt:variant>
      <vt:variant>
        <vt:i4>3</vt:i4>
      </vt:variant>
      <vt:variant>
        <vt:i4>0</vt:i4>
      </vt:variant>
      <vt:variant>
        <vt:i4>5</vt:i4>
      </vt:variant>
      <vt:variant>
        <vt:lpwstr>https://www.cas.mhra.gov.uk/ViewandAcknowledgment/ViewAlert.aspx?AlertID=103260</vt:lpwstr>
      </vt:variant>
      <vt:variant>
        <vt:lpwstr/>
      </vt:variant>
      <vt:variant>
        <vt:i4>1048588</vt:i4>
      </vt:variant>
      <vt:variant>
        <vt:i4>0</vt:i4>
      </vt:variant>
      <vt:variant>
        <vt:i4>0</vt:i4>
      </vt:variant>
      <vt:variant>
        <vt:i4>5</vt:i4>
      </vt:variant>
      <vt:variant>
        <vt:lpwstr>https://www.publications.scot.nhs.uk/files/dc20241218pert.pdf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Samuel (NHS NEL CSU)</dc:creator>
  <cp:keywords/>
  <dc:description/>
  <cp:lastModifiedBy>CALLENDER, Natasha (NHS NORTH EAST LONDON ICB - A3A8R)</cp:lastModifiedBy>
  <cp:revision>76</cp:revision>
  <dcterms:created xsi:type="dcterms:W3CDTF">2025-01-31T13:03:00Z</dcterms:created>
  <dcterms:modified xsi:type="dcterms:W3CDTF">2025-02-18T14:08:00Z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0x010100FA3DC5ABB010A3409C1B0BC61D57ADCA</vt:lpwstr>
  </property>
  <property fmtid="{D5CDD505-2E9C-101B-9397-08002B2CF9AE}" pid="3" name="MediaServiceImageTags">
    <vt:lpwstr/>
  </property>
</Properties>
</file>