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977" w:rsidP="2421E3F3" w:rsidRDefault="00844977" w14:paraId="16BA50DD" w14:textId="23BF018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421E3F3" w:rsidR="10B68050"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  <w:t>EHub</w:t>
      </w:r>
      <w:r w:rsidRPr="2421E3F3" w:rsidR="10B68050"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  <w:t xml:space="preserve"> FAQ Document – last updated 11 Oct 23</w:t>
      </w:r>
    </w:p>
    <w:p w:rsidR="00844977" w:rsidP="2421E3F3" w:rsidRDefault="00844977" w14:paraId="1638F93D" w14:textId="14D9130C">
      <w:pPr>
        <w:pStyle w:val="Normal"/>
        <w:textAlignment w:val="baseline"/>
      </w:pPr>
    </w:p>
    <w:sdt>
      <w:sdtPr>
        <w:id w:val="243823882"/>
        <w:docPartObj>
          <w:docPartGallery w:val="Table of Contents"/>
          <w:docPartUnique/>
        </w:docPartObj>
      </w:sdtPr>
      <w:sdtContent>
        <w:p w:rsidR="4CAF3F85" w:rsidP="4CAF3F85" w:rsidRDefault="4CAF3F85" w14:paraId="34F2917D" w14:textId="6E7916F8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123182794">
            <w:r w:rsidRPr="4CAF3F85" w:rsidR="4CAF3F85">
              <w:rPr>
                <w:rStyle w:val="Hyperlink"/>
              </w:rPr>
              <w:t>How do we set up a shared mailbox for pathology and shared appointment systems?</w:t>
            </w:r>
            <w:r>
              <w:tab/>
            </w:r>
            <w:r>
              <w:fldChar w:fldCharType="begin"/>
            </w:r>
            <w:r>
              <w:instrText xml:space="preserve">PAGEREF _Toc123182794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4CAF3F85" w:rsidP="4CAF3F85" w:rsidRDefault="4CAF3F85" w14:paraId="2E2960F8" w14:textId="04CA8D40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1867860353">
            <w:r w:rsidRPr="4CAF3F85" w:rsidR="4CAF3F85">
              <w:rPr>
                <w:rStyle w:val="Hyperlink"/>
              </w:rPr>
              <w:t>What shared procedures do PCNs need in order to make eHub working effective?</w:t>
            </w:r>
            <w:r>
              <w:tab/>
            </w:r>
            <w:r>
              <w:fldChar w:fldCharType="begin"/>
            </w:r>
            <w:r>
              <w:instrText xml:space="preserve">PAGEREF _Toc1867860353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4CAF3F85" w:rsidP="4CAF3F85" w:rsidRDefault="4CAF3F85" w14:paraId="75ECC163" w14:textId="7104185D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1748291874">
            <w:r w:rsidRPr="4CAF3F85" w:rsidR="4CAF3F85">
              <w:rPr>
                <w:rStyle w:val="Hyperlink"/>
              </w:rPr>
              <w:t>What funding is available for PCN eHub working?</w:t>
            </w:r>
            <w:r>
              <w:tab/>
            </w:r>
            <w:r>
              <w:fldChar w:fldCharType="begin"/>
            </w:r>
            <w:r>
              <w:instrText xml:space="preserve">PAGEREF _Toc1748291874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4CAF3F85" w:rsidP="4CAF3F85" w:rsidRDefault="4CAF3F85" w14:paraId="028BD3D2" w14:textId="357DC56B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336912607">
            <w:r w:rsidRPr="4CAF3F85" w:rsidR="4CAF3F85">
              <w:rPr>
                <w:rStyle w:val="Hyperlink"/>
              </w:rPr>
              <w:t>What support is available for PCN eHub working?</w:t>
            </w:r>
            <w:r>
              <w:tab/>
            </w:r>
            <w:r>
              <w:fldChar w:fldCharType="begin"/>
            </w:r>
            <w:r>
              <w:instrText xml:space="preserve">PAGEREF _Toc336912607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4CAF3F85" w:rsidP="4CAF3F85" w:rsidRDefault="4CAF3F85" w14:paraId="6A806A8D" w14:textId="6C86A045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540392117">
            <w:r w:rsidRPr="4CAF3F85" w:rsidR="4CAF3F85">
              <w:rPr>
                <w:rStyle w:val="Hyperlink"/>
              </w:rPr>
              <w:t>What is the difference between EMIS PCN Hub and EMIS Enterprise?</w:t>
            </w:r>
            <w:r>
              <w:tab/>
            </w:r>
            <w:r>
              <w:fldChar w:fldCharType="begin"/>
            </w:r>
            <w:r>
              <w:instrText xml:space="preserve">PAGEREF _Toc540392117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4CAF3F85" w:rsidP="4CAF3F85" w:rsidRDefault="4CAF3F85" w14:paraId="18CDFF43" w14:textId="365FDD3F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59029756">
            <w:r w:rsidRPr="4CAF3F85" w:rsidR="4CAF3F85">
              <w:rPr>
                <w:rStyle w:val="Hyperlink"/>
              </w:rPr>
              <w:t>What do practices need to do to ensure they protect sensitive information and comply with Data Protection requirements?</w:t>
            </w:r>
            <w:r>
              <w:tab/>
            </w:r>
            <w:r>
              <w:fldChar w:fldCharType="begin"/>
            </w:r>
            <w:r>
              <w:instrText xml:space="preserve">PAGEREF _Toc59029756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4CAF3F85" w:rsidP="4CAF3F85" w:rsidRDefault="4CAF3F85" w14:paraId="56BCD582" w14:textId="07E17BCA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14241772">
            <w:r w:rsidRPr="4CAF3F85" w:rsidR="4CAF3F85">
              <w:rPr>
                <w:rStyle w:val="Hyperlink"/>
              </w:rPr>
              <w:t>How does EMIS PCN Hub integrate with other systems such as JOY, tQuest, X-on Connect?</w:t>
            </w:r>
            <w:r>
              <w:tab/>
            </w:r>
            <w:r>
              <w:fldChar w:fldCharType="begin"/>
            </w:r>
            <w:r>
              <w:instrText xml:space="preserve">PAGEREF _Toc14241772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4CAF3F85" w:rsidP="4CAF3F85" w:rsidRDefault="4CAF3F85" w14:paraId="2BCAC7ED" w14:textId="4E621321">
          <w:pPr>
            <w:pStyle w:val="TOC2"/>
            <w:tabs>
              <w:tab w:val="right" w:leader="dot" w:pos="9015"/>
            </w:tabs>
            <w:bidi w:val="0"/>
            <w:rPr>
              <w:rStyle w:val="Hyperlink"/>
              <w:sz w:val="22"/>
              <w:szCs w:val="22"/>
            </w:rPr>
          </w:pPr>
          <w:hyperlink w:anchor="_Toc444523420">
            <w:r w:rsidRPr="4CAF3F85" w:rsidR="4CAF3F85">
              <w:rPr>
                <w:rStyle w:val="Hyperlink"/>
              </w:rPr>
              <w:t>How can an eHub be setup if some practices within the PCN use SystemOne?</w:t>
            </w:r>
            <w:r>
              <w:tab/>
            </w:r>
            <w:r>
              <w:fldChar w:fldCharType="begin"/>
            </w:r>
            <w:r>
              <w:instrText xml:space="preserve">PAGEREF _Toc444523420 \h</w:instrText>
            </w:r>
            <w:r>
              <w:fldChar w:fldCharType="separate"/>
            </w:r>
            <w:r w:rsidRPr="4CAF3F85" w:rsidR="4CAF3F85">
              <w:rPr>
                <w:rStyle w:val="Hyperlink"/>
              </w:rPr>
              <w:t>2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844977" w:rsidP="4CAF3F85" w:rsidRDefault="00844977" w14:paraId="39D4DC99" w14:textId="1449E3B8">
      <w:pPr>
        <w:pStyle w:val="Normal"/>
        <w:textAlignment w:val="baseline"/>
        <w:rPr>
          <w:sz w:val="20"/>
          <w:szCs w:val="20"/>
        </w:rPr>
      </w:pPr>
    </w:p>
    <w:p w:rsidRPr="00852734" w:rsidR="00852734" w:rsidP="4CAF3F85" w:rsidRDefault="00852734" w14:paraId="4454FB89" w14:textId="28FDDA90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123182794" w:id="681492825"/>
      <w:r w:rsidRPr="4CAF3F85" w:rsidR="00852734">
        <w:rPr>
          <w:b w:val="1"/>
          <w:bCs w:val="1"/>
        </w:rPr>
        <w:t>How do we set up a shared mailbox for pathology and shared appointment systems?</w:t>
      </w:r>
      <w:bookmarkEnd w:id="681492825"/>
    </w:p>
    <w:p w:rsidR="00844977" w:rsidP="4CAF3F85" w:rsidRDefault="00844977" w14:paraId="45CB8E84" w14:textId="77777777">
      <w:pPr>
        <w:pStyle w:val="Heading2"/>
      </w:pPr>
    </w:p>
    <w:p w:rsidR="00852734" w:rsidP="00852734" w:rsidRDefault="00844977" w14:paraId="0B429243" w14:textId="5430F234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The </w:t>
      </w:r>
      <w:hyperlink w:history="1" r:id="rId5">
        <w:r w:rsidRPr="00844977">
          <w:rPr>
            <w:rStyle w:val="Hyperlink"/>
            <w:rFonts w:ascii="Aptos" w:hAnsi="Aptos" w:eastAsia="Times New Roman" w:cs="Times New Roman"/>
            <w:kern w:val="0"/>
            <w:lang w:eastAsia="en-GB"/>
            <w14:ligatures w14:val="none"/>
          </w:rPr>
          <w:t>EMIS Now</w:t>
        </w:r>
      </w:hyperlink>
      <w:r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website has information on:</w:t>
      </w:r>
    </w:p>
    <w:p w:rsidR="00844977" w:rsidP="00852734" w:rsidRDefault="00844977" w14:paraId="6711E1F2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Pr="00844977" w:rsidR="00844977" w:rsidP="00844977" w:rsidRDefault="00844977" w14:paraId="495E42C8" w14:textId="2FB74FEB">
      <w:pPr>
        <w:pStyle w:val="ListParagraph"/>
        <w:numPr>
          <w:ilvl w:val="0"/>
          <w:numId w:val="1"/>
        </w:num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Setting up a brand new EMIS hub</w:t>
      </w:r>
    </w:p>
    <w:p w:rsidRPr="00844977" w:rsidR="00844977" w:rsidP="00844977" w:rsidRDefault="00844977" w14:paraId="59CFEE9E" w14:textId="0D455349">
      <w:pPr>
        <w:pStyle w:val="ListParagraph"/>
        <w:numPr>
          <w:ilvl w:val="0"/>
          <w:numId w:val="1"/>
        </w:num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Enabling EPS at PCN hubs</w:t>
      </w:r>
    </w:p>
    <w:p w:rsidRPr="00844977" w:rsidR="00844977" w:rsidP="00844977" w:rsidRDefault="00844977" w14:paraId="7EE96530" w14:textId="09FFBACB">
      <w:pPr>
        <w:pStyle w:val="ListParagraph"/>
        <w:numPr>
          <w:ilvl w:val="0"/>
          <w:numId w:val="1"/>
        </w:num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Enabling Consultation Write Back at PCN Hubs</w:t>
      </w:r>
    </w:p>
    <w:p w:rsidRPr="00844977" w:rsidR="00844977" w:rsidP="00844977" w:rsidRDefault="00844977" w14:paraId="4E23D5FB" w14:textId="7AACD0DA">
      <w:pPr>
        <w:pStyle w:val="ListParagraph"/>
        <w:numPr>
          <w:ilvl w:val="0"/>
          <w:numId w:val="1"/>
        </w:num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44977" w:rsid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Activating</w:t>
      </w:r>
      <w:r w:rsidRPr="00844977" w:rsid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GP Connect at PCN Hubs</w:t>
      </w:r>
    </w:p>
    <w:p w:rsidRPr="00844977" w:rsidR="00844977" w:rsidP="00844977" w:rsidRDefault="00844977" w14:paraId="5A8AFBD5" w14:textId="319EEC20">
      <w:pPr>
        <w:pStyle w:val="ListParagraph"/>
        <w:numPr>
          <w:ilvl w:val="0"/>
          <w:numId w:val="1"/>
        </w:num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Enabling Pathology at PCN Hubs</w:t>
      </w:r>
    </w:p>
    <w:p w:rsidRPr="00852734" w:rsidR="00852734" w:rsidP="00852734" w:rsidRDefault="00852734" w14:paraId="13F1BF80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Pr="00852734" w:rsidR="00852734" w:rsidP="4CAF3F85" w:rsidRDefault="00852734" w14:paraId="3C4C5CF4" w14:textId="77777777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1867860353" w:id="395900321"/>
      <w:r w:rsidRPr="4CAF3F85" w:rsidR="00852734">
        <w:rPr>
          <w:b w:val="1"/>
          <w:bCs w:val="1"/>
        </w:rPr>
        <w:t xml:space="preserve">What shared procedures do PCNs need </w:t>
      </w:r>
      <w:r w:rsidRPr="4CAF3F85" w:rsidR="00852734">
        <w:rPr>
          <w:b w:val="1"/>
          <w:bCs w:val="1"/>
        </w:rPr>
        <w:t>in order to</w:t>
      </w:r>
      <w:r w:rsidRPr="4CAF3F85" w:rsidR="00852734">
        <w:rPr>
          <w:b w:val="1"/>
          <w:bCs w:val="1"/>
        </w:rPr>
        <w:t xml:space="preserve"> make </w:t>
      </w:r>
      <w:r w:rsidRPr="4CAF3F85" w:rsidR="00852734">
        <w:rPr>
          <w:b w:val="1"/>
          <w:bCs w:val="1"/>
        </w:rPr>
        <w:t>eHub</w:t>
      </w:r>
      <w:r w:rsidRPr="4CAF3F85" w:rsidR="00852734">
        <w:rPr>
          <w:b w:val="1"/>
          <w:bCs w:val="1"/>
        </w:rPr>
        <w:t xml:space="preserve"> working effective?</w:t>
      </w:r>
      <w:bookmarkEnd w:id="395900321"/>
    </w:p>
    <w:p w:rsidRPr="00852734" w:rsidR="00852734" w:rsidP="16EAAFDA" w:rsidRDefault="00852734" w14:paraId="423743E3" w14:textId="63939EA2">
      <w:pPr>
        <w:pStyle w:val="Normal"/>
        <w:textAlignment w:val="baseline"/>
        <w:rPr>
          <w:rFonts w:ascii="Aptos" w:hAnsi="Aptos" w:eastAsia="Times New Roman" w:cs="Times New Roman"/>
          <w:color w:val="auto" w:themeColor="text1" w:themeTint="FF" w:themeShade="FF"/>
          <w:lang w:eastAsia="en-GB"/>
        </w:rPr>
      </w:pPr>
    </w:p>
    <w:p w:rsidRPr="00852734" w:rsidR="00852734" w:rsidP="16EAAFDA" w:rsidRDefault="00852734" w14:paraId="61B79477" w14:textId="78D1BE70">
      <w:pPr>
        <w:pStyle w:val="ListParagraph"/>
        <w:numPr>
          <w:ilvl w:val="0"/>
          <w:numId w:val="2"/>
        </w:numPr>
        <w:textAlignment w:val="baseline"/>
        <w:rPr>
          <w:rFonts w:ascii="Aptos" w:hAnsi="Aptos" w:eastAsia="Times New Roman" w:cs="Times New Roman"/>
          <w:color w:val="auto"/>
          <w:lang w:eastAsia="en-GB"/>
        </w:rPr>
      </w:pPr>
      <w:r w:rsidRPr="16EAAFDA" w:rsidR="26F3F66B">
        <w:rPr>
          <w:rFonts w:ascii="Aptos" w:hAnsi="Aptos" w:eastAsia="Times New Roman" w:cs="Times New Roman"/>
          <w:color w:val="auto"/>
          <w:lang w:eastAsia="en-GB"/>
        </w:rPr>
        <w:t xml:space="preserve">PCN Collaboration Agreement </w:t>
      </w:r>
    </w:p>
    <w:p w:rsidR="26F3F66B" w:rsidP="16EAAFDA" w:rsidRDefault="26F3F66B" w14:paraId="1D3AF508" w14:textId="5020630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ptos" w:hAnsi="Aptos" w:eastAsia="Times New Roman" w:cs="Times New Roman"/>
          <w:color w:val="auto"/>
          <w:lang w:eastAsia="en-GB"/>
        </w:rPr>
      </w:pPr>
      <w:r w:rsidRPr="16EAAFDA" w:rsidR="26F3F66B">
        <w:rPr>
          <w:rFonts w:ascii="Aptos" w:hAnsi="Aptos" w:eastAsia="Times New Roman" w:cs="Times New Roman"/>
          <w:color w:val="auto"/>
          <w:lang w:eastAsia="en-GB"/>
        </w:rPr>
        <w:t>Data Sharing Agreement</w:t>
      </w:r>
      <w:r w:rsidRPr="16EAAFDA" w:rsidR="32F47767">
        <w:rPr>
          <w:rFonts w:ascii="Aptos" w:hAnsi="Aptos" w:eastAsia="Times New Roman" w:cs="Times New Roman"/>
          <w:color w:val="auto"/>
          <w:lang w:eastAsia="en-GB"/>
        </w:rPr>
        <w:t xml:space="preserve"> -</w:t>
      </w:r>
      <w:r w:rsidRPr="16EAAFDA" w:rsidR="26F3F66B">
        <w:rPr>
          <w:rFonts w:ascii="Aptos" w:hAnsi="Aptos" w:eastAsia="Times New Roman" w:cs="Times New Roman"/>
          <w:color w:val="auto"/>
          <w:lang w:eastAsia="en-GB"/>
        </w:rPr>
        <w:t xml:space="preserve"> </w:t>
      </w:r>
      <w:r w:rsidRPr="16EAAFDA" w:rsidR="51FE7199">
        <w:rPr>
          <w:rFonts w:ascii="Aptos" w:hAnsi="Aptos" w:eastAsia="Times New Roman" w:cs="Times New Roman"/>
          <w:color w:val="auto"/>
          <w:lang w:eastAsia="en-GB"/>
        </w:rPr>
        <w:t>EMIS</w:t>
      </w:r>
      <w:r w:rsidRPr="16EAAFDA" w:rsidR="26F3F66B">
        <w:rPr>
          <w:rFonts w:ascii="Aptos" w:hAnsi="Aptos" w:eastAsia="Times New Roman" w:cs="Times New Roman"/>
          <w:color w:val="auto"/>
          <w:lang w:eastAsia="en-GB"/>
        </w:rPr>
        <w:t xml:space="preserve"> will set </w:t>
      </w:r>
      <w:r w:rsidRPr="16EAAFDA" w:rsidR="6ABBEFE6">
        <w:rPr>
          <w:rFonts w:ascii="Aptos" w:hAnsi="Aptos" w:eastAsia="Times New Roman" w:cs="Times New Roman"/>
          <w:color w:val="auto"/>
          <w:lang w:eastAsia="en-GB"/>
        </w:rPr>
        <w:t>this up for you</w:t>
      </w:r>
    </w:p>
    <w:p w:rsidR="26F3F66B" w:rsidP="16EAAFDA" w:rsidRDefault="26F3F66B" w14:paraId="425C9B59" w14:textId="5E959F18">
      <w:pPr>
        <w:pStyle w:val="ListParagraph"/>
        <w:numPr>
          <w:ilvl w:val="0"/>
          <w:numId w:val="2"/>
        </w:numPr>
        <w:rPr>
          <w:rFonts w:ascii="Aptos" w:hAnsi="Aptos" w:eastAsia="Times New Roman" w:cs="Times New Roman"/>
          <w:color w:val="auto"/>
          <w:lang w:eastAsia="en-GB"/>
        </w:rPr>
      </w:pPr>
      <w:r w:rsidRPr="16EAAFDA" w:rsidR="26F3F66B">
        <w:rPr>
          <w:rFonts w:ascii="Aptos" w:hAnsi="Aptos" w:eastAsia="Times New Roman" w:cs="Times New Roman"/>
          <w:color w:val="auto"/>
          <w:lang w:eastAsia="en-GB"/>
        </w:rPr>
        <w:t>Write Back functionality activated – E</w:t>
      </w:r>
      <w:r w:rsidRPr="16EAAFDA" w:rsidR="5900BDC1">
        <w:rPr>
          <w:rFonts w:ascii="Aptos" w:hAnsi="Aptos" w:eastAsia="Times New Roman" w:cs="Times New Roman"/>
          <w:color w:val="auto"/>
          <w:lang w:eastAsia="en-GB"/>
        </w:rPr>
        <w:t>MIS will complete this as part of the setup</w:t>
      </w:r>
    </w:p>
    <w:p w:rsidR="6BC39803" w:rsidP="6BC39803" w:rsidRDefault="6BC39803" w14:paraId="289616AE" w14:textId="67E01865">
      <w:pPr>
        <w:pStyle w:val="Normal"/>
        <w:rPr>
          <w:rFonts w:ascii="Aptos" w:hAnsi="Aptos" w:eastAsia="Times New Roman" w:cs="Times New Roman"/>
          <w:color w:val="FF0000"/>
          <w:lang w:eastAsia="en-GB"/>
        </w:rPr>
      </w:pPr>
    </w:p>
    <w:p w:rsidRPr="00852734" w:rsidR="00852734" w:rsidP="4CAF3F85" w:rsidRDefault="00852734" w14:paraId="4B00255E" w14:textId="77777777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1748291874" w:id="323206618"/>
      <w:r w:rsidRPr="4CAF3F85" w:rsidR="00852734">
        <w:rPr>
          <w:b w:val="1"/>
          <w:bCs w:val="1"/>
        </w:rPr>
        <w:t xml:space="preserve">What funding is available for PCN </w:t>
      </w:r>
      <w:r w:rsidRPr="4CAF3F85" w:rsidR="00852734">
        <w:rPr>
          <w:b w:val="1"/>
          <w:bCs w:val="1"/>
        </w:rPr>
        <w:t>eHub</w:t>
      </w:r>
      <w:r w:rsidRPr="4CAF3F85" w:rsidR="00852734">
        <w:rPr>
          <w:b w:val="1"/>
          <w:bCs w:val="1"/>
        </w:rPr>
        <w:t xml:space="preserve"> working?</w:t>
      </w:r>
      <w:bookmarkEnd w:id="323206618"/>
    </w:p>
    <w:p w:rsidR="00844977" w:rsidP="4CAF3F85" w:rsidRDefault="00844977" w14:paraId="3419EF78" w14:textId="77777777">
      <w:pPr>
        <w:pStyle w:val="Heading2"/>
      </w:pPr>
    </w:p>
    <w:p w:rsidRPr="00852734" w:rsidR="00852734" w:rsidP="302A3103" w:rsidRDefault="00852734" w14:paraId="2538E266" w14:textId="308A538C">
      <w:pPr>
        <w:textAlignment w:val="baseline"/>
        <w:rPr>
          <w:rFonts w:ascii="Aptos" w:hAnsi="Aptos" w:eastAsia="Times New Roman" w:cs="Times New Roman"/>
          <w:color w:val="000000" w:themeColor="text1" w:themeTint="FF" w:themeShade="FF"/>
          <w:lang w:eastAsia="en-GB"/>
        </w:rPr>
      </w:pPr>
      <w:r w:rsidRPr="00852734" w:rsidR="6DF15871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PCN</w:t>
      </w:r>
      <w:r w:rsidRPr="00852734" w:rsidR="1246EA00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s</w:t>
      </w:r>
      <w:r w:rsidRPr="00852734" w:rsidR="6DF15871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are funded for full EMIS interoperability. The elements</w:t>
      </w:r>
      <w:r w:rsidRPr="00852734" w:rsidR="279D836D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of work that the funding </w:t>
      </w:r>
      <w:r w:rsidRPr="00852734" w:rsidR="676F24A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cover</w:t>
      </w:r>
      <w:r w:rsidRPr="00852734" w:rsidR="28DA7BF2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s</w:t>
      </w:r>
      <w:r w:rsidRPr="00852734" w:rsidR="676F24A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852734" w:rsidR="500F24C3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is itemised below.</w:t>
      </w:r>
    </w:p>
    <w:p w:rsidR="6BC39803" w:rsidRDefault="6BC39803" w14:paraId="7A7F3BDB" w14:textId="738659EB"/>
    <w:tbl>
      <w:tblPr>
        <w:tblStyle w:val="TableNormal"/>
        <w:tblW w:w="7005" w:type="dxa"/>
        <w:tblLayout w:type="fixed"/>
        <w:tblLook w:val="04A0" w:firstRow="1" w:lastRow="0" w:firstColumn="1" w:lastColumn="0" w:noHBand="0" w:noVBand="1"/>
      </w:tblPr>
      <w:tblGrid>
        <w:gridCol w:w="7005"/>
      </w:tblGrid>
      <w:tr w:rsidR="302A3103" w:rsidTr="4CAF3F85" w14:paraId="2E408F66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0CB75F49" w14:textId="222CD9A8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CAF3F85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Concurrent Licences x</w:t>
            </w:r>
            <w:r w:rsidRPr="4CAF3F85" w:rsidR="79BF292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5</w:t>
            </w:r>
          </w:p>
        </w:tc>
      </w:tr>
      <w:tr w:rsidR="302A3103" w:rsidTr="4CAF3F85" w14:paraId="71EC3AD0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6F282114" w14:textId="380E1C97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Clinical Service Deployment</w:t>
            </w:r>
          </w:p>
        </w:tc>
      </w:tr>
      <w:tr w:rsidR="302A3103" w:rsidTr="4CAF3F85" w14:paraId="38E6B8CF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492B687B" w14:textId="2CFCE0CF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CAF3F85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Clinical Training </w:t>
            </w:r>
            <w:r w:rsidRPr="4CAF3F85" w:rsidR="4A8F6D3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(2 days)</w:t>
            </w:r>
          </w:p>
        </w:tc>
      </w:tr>
      <w:tr w:rsidR="302A3103" w:rsidTr="4CAF3F85" w14:paraId="0FFA6E8E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5B5FF1D1" w14:textId="11F69091">
            <w:pPr>
              <w:pStyle w:val="ListParagraph"/>
              <w:numPr>
                <w:ilvl w:val="0"/>
                <w:numId w:val="5"/>
              </w:numPr>
              <w:spacing w:after="0" w:afterAutospacing="off"/>
              <w:ind w:right="-1350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Pathology Set up</w:t>
            </w:r>
          </w:p>
        </w:tc>
      </w:tr>
      <w:tr w:rsidR="302A3103" w:rsidTr="4CAF3F85" w14:paraId="3075D90F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04CB4FBB" w14:textId="4A298A37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EPS Set up</w:t>
            </w:r>
          </w:p>
        </w:tc>
      </w:tr>
      <w:tr w:rsidR="302A3103" w:rsidTr="4CAF3F85" w14:paraId="77AC5D90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6C74CD86" w14:textId="726C5580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EPS Training</w:t>
            </w:r>
          </w:p>
        </w:tc>
      </w:tr>
      <w:tr w:rsidR="302A3103" w:rsidTr="4CAF3F85" w14:paraId="50E6762E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71893B95" w14:textId="62A2E826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Data Dump</w:t>
            </w:r>
          </w:p>
        </w:tc>
      </w:tr>
      <w:tr w:rsidR="302A3103" w:rsidTr="4CAF3F85" w14:paraId="6D2EB194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6A8ED11B" w14:textId="169A7804">
            <w:pPr>
              <w:pStyle w:val="ListParagraph"/>
              <w:numPr>
                <w:ilvl w:val="0"/>
                <w:numId w:val="5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CAF3F85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Project Management </w:t>
            </w:r>
            <w:r w:rsidRPr="4CAF3F85" w:rsidR="7D4EDDD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(2</w:t>
            </w:r>
            <w:r w:rsidRPr="4CAF3F85" w:rsidR="3F90D3C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days)</w:t>
            </w:r>
          </w:p>
        </w:tc>
      </w:tr>
      <w:tr w:rsidR="302A3103" w:rsidTr="4CAF3F85" w14:paraId="597866C9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1A11A2D7" w14:textId="1F86CCA0">
            <w:pPr>
              <w:pStyle w:val="ListParagraph"/>
              <w:numPr>
                <w:ilvl w:val="0"/>
                <w:numId w:val="6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Consultation Right Back</w:t>
            </w:r>
          </w:p>
        </w:tc>
      </w:tr>
      <w:tr w:rsidR="302A3103" w:rsidTr="4CAF3F85" w14:paraId="71020F8A">
        <w:trPr>
          <w:trHeight w:val="270"/>
        </w:trPr>
        <w:tc>
          <w:tcPr>
            <w:tcW w:w="7005" w:type="dxa"/>
            <w:tcMar>
              <w:left w:w="108" w:type="dxa"/>
              <w:right w:w="108" w:type="dxa"/>
            </w:tcMar>
            <w:vAlign w:val="bottom"/>
          </w:tcPr>
          <w:p w:rsidR="302A3103" w:rsidP="16EAAFDA" w:rsidRDefault="302A3103" w14:paraId="4BB74FC2" w14:textId="384CC252">
            <w:pPr>
              <w:pStyle w:val="ListParagraph"/>
              <w:numPr>
                <w:ilvl w:val="0"/>
                <w:numId w:val="4"/>
              </w:numPr>
              <w:spacing w:after="0" w:afterAutospacing="off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6EAAFDA" w:rsidR="14815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MESH</w:t>
            </w:r>
          </w:p>
        </w:tc>
      </w:tr>
    </w:tbl>
    <w:p w:rsidRPr="00852734" w:rsidR="00852734" w:rsidP="302A3103" w:rsidRDefault="00852734" w14:paraId="4BC64413" w14:textId="3D17816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ptos" w:hAnsi="Aptos" w:eastAsia="Times New Roman" w:cs="Times New Roman"/>
          <w:color w:val="000000" w:themeColor="text1" w:themeTint="FF" w:themeShade="FF"/>
          <w:lang w:eastAsia="en-GB"/>
        </w:rPr>
      </w:pPr>
    </w:p>
    <w:p w:rsidRPr="00852734" w:rsidR="00852734" w:rsidP="302A3103" w:rsidRDefault="00852734" w14:paraId="17ABB2F4" w14:textId="4D51B1B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ptos" w:hAnsi="Aptos" w:eastAsia="Times New Roman" w:cs="Times New Roman"/>
          <w:color w:val="000000" w:themeColor="text1" w:themeTint="FF" w:themeShade="FF"/>
          <w:lang w:eastAsia="en-GB"/>
        </w:rPr>
      </w:pPr>
      <w:r w:rsidRPr="302A3103" w:rsidR="5D553D7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It is important to note that this fundin</w:t>
      </w:r>
      <w:r w:rsidRPr="302A3103" w:rsidR="1957198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g</w:t>
      </w:r>
      <w:r w:rsidRPr="302A3103" w:rsidR="5D553D7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covers the </w:t>
      </w:r>
      <w:r w:rsidRPr="302A3103" w:rsidR="28922E1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set-up</w:t>
      </w:r>
      <w:r w:rsidRPr="302A3103" w:rsidR="5D553D7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cost and implementation of EMIS </w:t>
      </w:r>
      <w:r w:rsidRPr="302A3103" w:rsidR="7F345417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interoperability in the first year. The PCNs wil</w:t>
      </w:r>
      <w:r w:rsidRPr="302A3103" w:rsidR="0BC6D66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l</w:t>
      </w:r>
      <w:r w:rsidRPr="302A3103" w:rsidR="7F345417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</w:t>
      </w:r>
      <w:r w:rsidRPr="302A3103" w:rsidR="7F345417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be required</w:t>
      </w:r>
      <w:r w:rsidRPr="302A3103" w:rsidR="7F345417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to </w:t>
      </w:r>
      <w:r w:rsidRPr="302A3103" w:rsidR="7A9CAB6A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cover the cost of licence from the second year as well </w:t>
      </w:r>
      <w:r w:rsidRPr="302A3103" w:rsidR="7A9CAB6A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as</w:t>
      </w:r>
      <w:r w:rsidRPr="302A3103" w:rsidR="5D553D7D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</w:t>
      </w:r>
      <w:r w:rsidRPr="302A3103" w:rsidR="1CBE3779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>pathology</w:t>
      </w:r>
      <w:r w:rsidRPr="302A3103" w:rsidR="1CBE3779">
        <w:rPr>
          <w:rFonts w:ascii="Aptos" w:hAnsi="Aptos" w:eastAsia="Times New Roman" w:cs="Times New Roman"/>
          <w:color w:val="000000" w:themeColor="text1" w:themeTint="FF" w:themeShade="FF"/>
          <w:lang w:eastAsia="en-GB"/>
        </w:rPr>
        <w:t xml:space="preserve"> and EPS connectivity.</w:t>
      </w:r>
    </w:p>
    <w:p w:rsidRPr="00852734" w:rsidR="00852734" w:rsidP="00852734" w:rsidRDefault="00852734" w14:paraId="0E5F0A84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Pr="00852734" w:rsidR="00852734" w:rsidP="4CAF3F85" w:rsidRDefault="00852734" w14:paraId="6F231615" w14:textId="77777777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336912607" w:id="1856430036"/>
      <w:r w:rsidRPr="4CAF3F85" w:rsidR="00852734">
        <w:rPr>
          <w:b w:val="1"/>
          <w:bCs w:val="1"/>
        </w:rPr>
        <w:t xml:space="preserve">What support is available for PCN </w:t>
      </w:r>
      <w:r w:rsidRPr="4CAF3F85" w:rsidR="00852734">
        <w:rPr>
          <w:b w:val="1"/>
          <w:bCs w:val="1"/>
        </w:rPr>
        <w:t>eHub</w:t>
      </w:r>
      <w:r w:rsidRPr="4CAF3F85" w:rsidR="00852734">
        <w:rPr>
          <w:b w:val="1"/>
          <w:bCs w:val="1"/>
        </w:rPr>
        <w:t xml:space="preserve"> working?</w:t>
      </w:r>
      <w:bookmarkEnd w:id="1856430036"/>
    </w:p>
    <w:p w:rsidR="00844977" w:rsidP="4CAF3F85" w:rsidRDefault="00844977" w14:paraId="675140E9" w14:textId="77777777">
      <w:pPr>
        <w:pStyle w:val="Heading2"/>
        <w:rPr>
          <w:b w:val="1"/>
          <w:bCs w:val="1"/>
        </w:rPr>
      </w:pPr>
    </w:p>
    <w:p w:rsidR="00852734" w:rsidP="00852734" w:rsidRDefault="00852734" w14:paraId="174E0AE1" w14:textId="08483BD4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52734" w:rsid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PCNs</w:t>
      </w:r>
      <w:r w:rsidRPr="00852734" w:rsid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will receive initial technical support from the EMIS team to get the </w:t>
      </w:r>
      <w:r w:rsidRPr="00852734" w:rsid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eHub</w:t>
      </w:r>
      <w:r w:rsidRPr="00852734" w:rsid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initially configured. Ongoing technical support will be provided by the Digital Facilitator team. </w:t>
      </w:r>
      <w:r w:rsid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For </w:t>
      </w:r>
      <w:r w:rsid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support</w:t>
      </w:r>
      <w:r w:rsid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please contact the following:</w:t>
      </w:r>
    </w:p>
    <w:p w:rsidR="00844977" w:rsidP="00852734" w:rsidRDefault="00844977" w14:paraId="6BB33195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Pr="00852734" w:rsidR="00844977" w:rsidP="00852734" w:rsidRDefault="00844977" w14:paraId="1E9ED321" w14:textId="658035F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hyperlink w:history="1" r:id="rId6">
        <w:r w:rsidRPr="00844977">
          <w:rPr>
            <w:rFonts w:ascii="Aptos" w:hAnsi="Aptos" w:eastAsia="Times New Roman" w:cs="Times New Roman"/>
            <w:color w:val="000000"/>
            <w:kern w:val="0"/>
            <w:lang w:eastAsia="en-GB"/>
            <w14:ligatures w14:val="none"/>
          </w:rPr>
          <w:t>anuwar.h</w:t>
        </w:r>
        <w:r w:rsidRPr="00844977">
          <w:rPr>
            <w:rFonts w:ascii="Aptos" w:hAnsi="Aptos" w:eastAsia="Times New Roman" w:cs="Times New Roman"/>
            <w:color w:val="000000"/>
            <w:kern w:val="0"/>
            <w:lang w:eastAsia="en-GB"/>
            <w14:ligatures w14:val="none"/>
          </w:rPr>
          <w:t>u</w:t>
        </w:r>
        <w:r w:rsidRPr="00844977">
          <w:rPr>
            <w:rFonts w:ascii="Aptos" w:hAnsi="Aptos" w:eastAsia="Times New Roman" w:cs="Times New Roman"/>
            <w:color w:val="000000"/>
            <w:kern w:val="0"/>
            <w:lang w:eastAsia="en-GB"/>
            <w14:ligatures w14:val="none"/>
          </w:rPr>
          <w:t>ssain1</w:t>
        </w:r>
        <w:r w:rsidRPr="00844977">
          <w:rPr>
            <w:rFonts w:ascii="Aptos" w:hAnsi="Aptos" w:eastAsia="Times New Roman" w:cs="Times New Roman"/>
            <w:color w:val="000000"/>
            <w:kern w:val="0"/>
            <w:lang w:eastAsia="en-GB"/>
            <w14:ligatures w14:val="none"/>
          </w:rPr>
          <w:t>@</w:t>
        </w:r>
        <w:r w:rsidRPr="00844977">
          <w:rPr>
            <w:rFonts w:ascii="Aptos" w:hAnsi="Aptos" w:eastAsia="Times New Roman" w:cs="Times New Roman"/>
            <w:color w:val="000000"/>
            <w:kern w:val="0"/>
            <w:lang w:eastAsia="en-GB"/>
            <w14:ligatures w14:val="none"/>
          </w:rPr>
          <w:t>nhs.net</w:t>
        </w:r>
      </w:hyperlink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 (Barking &amp; Dagenham, Havering &amp; Redbridge)</w:t>
      </w:r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br/>
      </w:r>
      <w:hyperlink w:history="1" r:id="rId7">
        <w:r w:rsidRPr="001B0777">
          <w:rPr>
            <w:rStyle w:val="Hyperlink"/>
            <w:rFonts w:ascii="Aptos" w:hAnsi="Aptos" w:eastAsia="Times New Roman" w:cs="Times New Roman"/>
            <w:kern w:val="0"/>
            <w:lang w:eastAsia="en-GB"/>
            <w14:ligatures w14:val="none"/>
          </w:rPr>
          <w:t>sharon.jackson42@nhs.net</w:t>
        </w:r>
      </w:hyperlink>
      <w:r w:rsidRPr="00844977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 (Waltham Forest, City &amp; Hackney, Tower Hamlets &amp; Newham)</w:t>
      </w:r>
    </w:p>
    <w:p w:rsidRPr="00852734" w:rsidR="00852734" w:rsidP="00852734" w:rsidRDefault="00852734" w14:paraId="28042558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Pr="00852734" w:rsidR="00852734" w:rsidP="00852734" w:rsidRDefault="00852734" w14:paraId="42195F02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  <w:r w:rsidRP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In addition, Dr </w:t>
      </w:r>
      <w:proofErr w:type="spellStart"/>
      <w:r w:rsidRP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Asad</w:t>
      </w:r>
      <w:proofErr w:type="spellEnd"/>
      <w:r w:rsidRP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Ashraf from the </w:t>
      </w:r>
      <w:proofErr w:type="spellStart"/>
      <w:r w:rsidRP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>eHub</w:t>
      </w:r>
      <w:proofErr w:type="spellEnd"/>
      <w:r w:rsidRPr="00852734"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  <w:t xml:space="preserve"> team is available for a monthly check in/ trouble shooting call.</w:t>
      </w:r>
    </w:p>
    <w:p w:rsidRPr="00852734" w:rsidR="00852734" w:rsidP="00852734" w:rsidRDefault="00852734" w14:paraId="625EB8D9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="00852734" w:rsidP="4CAF3F85" w:rsidRDefault="00852734" w14:paraId="2DA31E6B" w14:textId="3766824C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540392117" w:id="1577780513"/>
      <w:r w:rsidRPr="4CAF3F85" w:rsidR="00852734">
        <w:rPr>
          <w:b w:val="1"/>
          <w:bCs w:val="1"/>
        </w:rPr>
        <w:t>What is the difference between EMIS PCN Hub and EMIS Enterprise?</w:t>
      </w:r>
      <w:bookmarkEnd w:id="1577780513"/>
    </w:p>
    <w:p w:rsidR="00844977" w:rsidP="4CAF3F85" w:rsidRDefault="00844977" w14:paraId="37BB0516" w14:textId="77777777">
      <w:pPr>
        <w:pStyle w:val="Heading2"/>
        <w:rPr>
          <w:b w:val="1"/>
          <w:bCs w:val="1"/>
        </w:rPr>
      </w:pPr>
    </w:p>
    <w:p w:rsidR="594FE0F6" w:rsidP="16EAAFDA" w:rsidRDefault="594FE0F6" w14:paraId="3E062250" w14:textId="0C4809C8">
      <w:pPr>
        <w:pStyle w:val="Normal"/>
        <w:rPr>
          <w:rFonts w:ascii="Aptos" w:hAnsi="Aptos" w:eastAsia="Times New Roman" w:cs="Times New Roman"/>
          <w:color w:val="auto" w:themeColor="text1" w:themeTint="FF" w:themeShade="FF"/>
          <w:lang w:eastAsia="en-GB"/>
        </w:rPr>
      </w:pP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E</w:t>
      </w:r>
      <w:r w:rsidRPr="16EAAFDA" w:rsidR="639B603B">
        <w:rPr>
          <w:rFonts w:ascii="Aptos" w:hAnsi="Aptos" w:eastAsia="Times New Roman" w:cs="Times New Roman"/>
          <w:color w:val="auto"/>
          <w:lang w:eastAsia="en-GB"/>
        </w:rPr>
        <w:t>MIS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 xml:space="preserve"> Hub is the clinical operating system that GP practices use, but at a 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coll</w:t>
      </w:r>
      <w:r w:rsidRPr="16EAAFDA" w:rsidR="77FFF2FC">
        <w:rPr>
          <w:rFonts w:ascii="Aptos" w:hAnsi="Aptos" w:eastAsia="Times New Roman" w:cs="Times New Roman"/>
          <w:color w:val="auto"/>
          <w:lang w:eastAsia="en-GB"/>
        </w:rPr>
        <w:t>a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b</w:t>
      </w:r>
      <w:r w:rsidRPr="16EAAFDA" w:rsidR="1A188933">
        <w:rPr>
          <w:rFonts w:ascii="Aptos" w:hAnsi="Aptos" w:eastAsia="Times New Roman" w:cs="Times New Roman"/>
          <w:color w:val="auto"/>
          <w:lang w:eastAsia="en-GB"/>
        </w:rPr>
        <w:t>o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rative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 xml:space="preserve"> level 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eg</w:t>
      </w:r>
      <w:r w:rsidRPr="16EAAFDA" w:rsidR="73C3506D">
        <w:rPr>
          <w:rFonts w:ascii="Aptos" w:hAnsi="Aptos" w:eastAsia="Times New Roman" w:cs="Times New Roman"/>
          <w:color w:val="auto"/>
          <w:lang w:eastAsia="en-GB"/>
        </w:rPr>
        <w:t>.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 xml:space="preserve"> it allows you to put on clinics and run services</w:t>
      </w:r>
    </w:p>
    <w:p w:rsidR="6BC39803" w:rsidP="16EAAFDA" w:rsidRDefault="6BC39803" w14:paraId="5EA1BBA6" w14:textId="3D53B419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</w:p>
    <w:p w:rsidR="594FE0F6" w:rsidP="16EAAFDA" w:rsidRDefault="594FE0F6" w14:paraId="0302A7BA" w14:textId="5032417A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  <w:r w:rsidRPr="16EAAFDA" w:rsidR="594FE0F6">
        <w:rPr>
          <w:rFonts w:ascii="Aptos" w:hAnsi="Aptos" w:eastAsia="Times New Roman" w:cs="Times New Roman"/>
          <w:color w:val="auto"/>
          <w:lang w:eastAsia="en-GB"/>
        </w:rPr>
        <w:t>E</w:t>
      </w:r>
      <w:r w:rsidRPr="16EAAFDA" w:rsidR="17CE5043">
        <w:rPr>
          <w:rFonts w:ascii="Aptos" w:hAnsi="Aptos" w:eastAsia="Times New Roman" w:cs="Times New Roman"/>
          <w:color w:val="auto"/>
          <w:lang w:eastAsia="en-GB"/>
        </w:rPr>
        <w:t>MIS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 xml:space="preserve"> </w:t>
      </w:r>
      <w:r w:rsidRPr="16EAAFDA" w:rsidR="1A0FF49C">
        <w:rPr>
          <w:rFonts w:ascii="Aptos" w:hAnsi="Aptos" w:eastAsia="Times New Roman" w:cs="Times New Roman"/>
          <w:color w:val="auto"/>
          <w:lang w:eastAsia="en-GB"/>
        </w:rPr>
        <w:t>Enterprise</w:t>
      </w:r>
      <w:r w:rsidRPr="16EAAFDA" w:rsidR="594FE0F6">
        <w:rPr>
          <w:rFonts w:ascii="Aptos" w:hAnsi="Aptos" w:eastAsia="Times New Roman" w:cs="Times New Roman"/>
          <w:color w:val="auto"/>
          <w:lang w:eastAsia="en-GB"/>
        </w:rPr>
        <w:t xml:space="preserve"> is a data analytic, search and report tool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>. It allows you to run searches across large patc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>he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 xml:space="preserve">s 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>eg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 xml:space="preserve"> Tower Hamlets and Waltham Forest have this tool at Federation level, to search for data for vaccines 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 xml:space="preserve">and </w:t>
      </w:r>
      <w:r w:rsidRPr="16EAAFDA" w:rsidR="7AF06929">
        <w:rPr>
          <w:rFonts w:ascii="Aptos" w:hAnsi="Aptos" w:eastAsia="Times New Roman" w:cs="Times New Roman"/>
          <w:color w:val="auto"/>
          <w:lang w:eastAsia="en-GB"/>
        </w:rPr>
        <w:t>imms etc</w:t>
      </w:r>
    </w:p>
    <w:p w:rsidRPr="00852734" w:rsidR="00852734" w:rsidP="00852734" w:rsidRDefault="00852734" w14:paraId="65D2BCCB" w14:textId="77777777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="00852734" w:rsidP="4CAF3F85" w:rsidRDefault="00852734" w14:paraId="60A1B45A" w14:textId="77777777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59029756" w:id="1106902073"/>
      <w:r w:rsidRPr="4CAF3F85" w:rsidR="00852734">
        <w:rPr>
          <w:b w:val="1"/>
          <w:bCs w:val="1"/>
        </w:rPr>
        <w:t xml:space="preserve">What do practices need to do to ensure they protect sensitive information and </w:t>
      </w:r>
      <w:r w:rsidRPr="4CAF3F85" w:rsidR="00852734">
        <w:rPr>
          <w:b w:val="1"/>
          <w:bCs w:val="1"/>
        </w:rPr>
        <w:t>comply with</w:t>
      </w:r>
      <w:r w:rsidRPr="4CAF3F85" w:rsidR="00852734">
        <w:rPr>
          <w:b w:val="1"/>
          <w:bCs w:val="1"/>
        </w:rPr>
        <w:t xml:space="preserve"> Data Protection requirements?</w:t>
      </w:r>
      <w:bookmarkEnd w:id="1106902073"/>
    </w:p>
    <w:p w:rsidRPr="00852734" w:rsidR="00844977" w:rsidP="4CAF3F85" w:rsidRDefault="00844977" w14:paraId="11DCEC74" w14:textId="77777777">
      <w:pPr>
        <w:pStyle w:val="Heading2"/>
      </w:pPr>
    </w:p>
    <w:p w:rsidR="5C7C0F9B" w:rsidP="2421E3F3" w:rsidRDefault="5C7C0F9B" w14:paraId="15751209" w14:textId="32445D27">
      <w:pPr>
        <w:pStyle w:val="Normal"/>
        <w:rPr>
          <w:rFonts w:ascii="Aptos" w:hAnsi="Aptos" w:eastAsia="Times New Roman" w:cs="Times New Roman"/>
          <w:color w:val="auto" w:themeColor="text1" w:themeTint="FF" w:themeShade="FF"/>
          <w:lang w:eastAsia="en-GB"/>
        </w:rPr>
      </w:pPr>
      <w:r w:rsidRPr="2421E3F3" w:rsidR="5C7C0F9B">
        <w:rPr>
          <w:rFonts w:ascii="Aptos" w:hAnsi="Aptos" w:eastAsia="Times New Roman" w:cs="Times New Roman"/>
          <w:color w:val="auto"/>
          <w:lang w:eastAsia="en-GB"/>
        </w:rPr>
        <w:t>Nothing different to what you would do at practice level.</w:t>
      </w:r>
      <w:r w:rsidRPr="2421E3F3" w:rsidR="5C7C0F9B">
        <w:rPr>
          <w:rFonts w:ascii="Aptos" w:hAnsi="Aptos" w:eastAsia="Times New Roman" w:cs="Times New Roman"/>
          <w:color w:val="auto"/>
          <w:lang w:eastAsia="en-GB"/>
        </w:rPr>
        <w:t xml:space="preserve"> Anyone who works for the PCN and uses the </w:t>
      </w:r>
      <w:r w:rsidRPr="2421E3F3" w:rsidR="42EDD2D4">
        <w:rPr>
          <w:rFonts w:ascii="Aptos" w:hAnsi="Aptos" w:eastAsia="Times New Roman" w:cs="Times New Roman"/>
          <w:color w:val="auto"/>
          <w:lang w:eastAsia="en-GB"/>
        </w:rPr>
        <w:t>EMIS</w:t>
      </w:r>
      <w:r w:rsidRPr="2421E3F3" w:rsidR="5C7C0F9B">
        <w:rPr>
          <w:rFonts w:ascii="Aptos" w:hAnsi="Aptos" w:eastAsia="Times New Roman" w:cs="Times New Roman"/>
          <w:color w:val="auto"/>
          <w:lang w:eastAsia="en-GB"/>
        </w:rPr>
        <w:t xml:space="preserve"> hub model needs to have their mandatory training. Data protection agreements are signed between practice and the PCN E</w:t>
      </w:r>
      <w:r w:rsidRPr="2421E3F3" w:rsidR="5C9B6A2A">
        <w:rPr>
          <w:rFonts w:ascii="Aptos" w:hAnsi="Aptos" w:eastAsia="Times New Roman" w:cs="Times New Roman"/>
          <w:color w:val="auto"/>
          <w:lang w:eastAsia="en-GB"/>
        </w:rPr>
        <w:t>MIS</w:t>
      </w:r>
      <w:r w:rsidRPr="2421E3F3" w:rsidR="5C7C0F9B">
        <w:rPr>
          <w:rFonts w:ascii="Aptos" w:hAnsi="Aptos" w:eastAsia="Times New Roman" w:cs="Times New Roman"/>
          <w:color w:val="auto"/>
          <w:lang w:eastAsia="en-GB"/>
        </w:rPr>
        <w:t xml:space="preserve"> Hub</w:t>
      </w:r>
      <w:r w:rsidRPr="2421E3F3" w:rsidR="240C3262">
        <w:rPr>
          <w:rFonts w:ascii="Aptos" w:hAnsi="Aptos" w:eastAsia="Times New Roman" w:cs="Times New Roman"/>
          <w:color w:val="auto"/>
          <w:lang w:eastAsia="en-GB"/>
        </w:rPr>
        <w:t>.</w:t>
      </w:r>
    </w:p>
    <w:p w:rsidRPr="00852734" w:rsidR="00852734" w:rsidP="00852734" w:rsidRDefault="00852734" w14:paraId="69B586EA" w14:textId="77777777" w14:noSpellErr="1">
      <w:pPr>
        <w:textAlignment w:val="baseline"/>
        <w:rPr>
          <w:rFonts w:ascii="Aptos" w:hAnsi="Aptos" w:eastAsia="Times New Roman" w:cs="Times New Roman"/>
          <w:color w:val="000000"/>
          <w:kern w:val="0"/>
          <w:lang w:eastAsia="en-GB"/>
          <w14:ligatures w14:val="none"/>
        </w:rPr>
      </w:pPr>
    </w:p>
    <w:p w:rsidR="7F71E89A" w:rsidP="4CAF3F85" w:rsidRDefault="7F71E89A" w14:paraId="42DC8BF7" w14:textId="00725BD9">
      <w:pPr>
        <w:pStyle w:val="Heading2"/>
        <w:rPr>
          <w:rFonts w:ascii="Aptos" w:hAnsi="Aptos" w:eastAsia="Times New Roman" w:cs="Times New Roman"/>
          <w:b w:val="1"/>
          <w:bCs w:val="1"/>
          <w:color w:val="000000" w:themeColor="text1" w:themeTint="FF" w:themeShade="FF"/>
          <w:lang w:eastAsia="en-GB"/>
        </w:rPr>
      </w:pPr>
      <w:bookmarkStart w:name="_Toc14241772" w:id="1461392325"/>
      <w:r w:rsidRPr="4CAF3F85" w:rsidR="7F71E89A">
        <w:rPr>
          <w:b w:val="1"/>
          <w:bCs w:val="1"/>
        </w:rPr>
        <w:t xml:space="preserve">How does EMIS PCN Hub integrate with other systems such as JOY, </w:t>
      </w:r>
      <w:r w:rsidRPr="4CAF3F85" w:rsidR="7F71E89A">
        <w:rPr>
          <w:b w:val="1"/>
          <w:bCs w:val="1"/>
        </w:rPr>
        <w:t>tQuest</w:t>
      </w:r>
      <w:r w:rsidRPr="4CAF3F85" w:rsidR="7F71E89A">
        <w:rPr>
          <w:b w:val="1"/>
          <w:bCs w:val="1"/>
        </w:rPr>
        <w:t>, X-on Connect?</w:t>
      </w:r>
      <w:bookmarkEnd w:id="1461392325"/>
    </w:p>
    <w:p w:rsidR="6BC39803" w:rsidP="4CAF3F85" w:rsidRDefault="6BC39803" w14:paraId="026C329E" w14:textId="758A0A4B">
      <w:pPr>
        <w:pStyle w:val="Heading2"/>
        <w:rPr>
          <w:b w:val="1"/>
          <w:bCs w:val="1"/>
        </w:rPr>
      </w:pPr>
    </w:p>
    <w:p w:rsidR="34A129E7" w:rsidP="2421E3F3" w:rsidRDefault="34A129E7" w14:paraId="4E2B99F7" w14:textId="2D7B6EE2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  <w:r w:rsidRPr="2421E3F3" w:rsidR="71D39D28">
        <w:rPr>
          <w:rFonts w:ascii="Aptos" w:hAnsi="Aptos" w:eastAsia="Times New Roman" w:cs="Times New Roman"/>
          <w:color w:val="auto"/>
          <w:lang w:eastAsia="en-GB"/>
        </w:rPr>
        <w:t>T</w:t>
      </w:r>
      <w:r w:rsidRPr="2421E3F3" w:rsidR="273990EB">
        <w:rPr>
          <w:rFonts w:ascii="Aptos" w:hAnsi="Aptos" w:eastAsia="Times New Roman" w:cs="Times New Roman"/>
          <w:color w:val="auto"/>
          <w:lang w:eastAsia="en-GB"/>
        </w:rPr>
        <w:t>he E4 Network in Waltham Forest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have had success in setting up T quest and cervical smear functionality.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This is directly with 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>E</w:t>
      </w:r>
      <w:r w:rsidRPr="2421E3F3" w:rsidR="4F914A87">
        <w:rPr>
          <w:rFonts w:ascii="Aptos" w:hAnsi="Aptos" w:eastAsia="Times New Roman" w:cs="Times New Roman"/>
          <w:color w:val="auto"/>
          <w:lang w:eastAsia="en-GB"/>
        </w:rPr>
        <w:t>MIS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and Barts input</w:t>
      </w:r>
      <w:r w:rsidRPr="2421E3F3" w:rsidR="78902A78">
        <w:rPr>
          <w:rFonts w:ascii="Aptos" w:hAnsi="Aptos" w:eastAsia="Times New Roman" w:cs="Times New Roman"/>
          <w:color w:val="auto"/>
          <w:lang w:eastAsia="en-GB"/>
        </w:rPr>
        <w:t>.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</w:t>
      </w:r>
      <w:r w:rsidRPr="2421E3F3" w:rsidR="3CC2A71D">
        <w:rPr>
          <w:rFonts w:ascii="Aptos" w:hAnsi="Aptos" w:eastAsia="Times New Roman" w:cs="Times New Roman"/>
          <w:color w:val="auto"/>
          <w:lang w:eastAsia="en-GB"/>
        </w:rPr>
        <w:t>For more information see</w:t>
      </w:r>
      <w:r w:rsidRPr="2421E3F3" w:rsidR="250CF50B">
        <w:rPr>
          <w:rFonts w:ascii="Aptos" w:hAnsi="Aptos" w:eastAsia="Times New Roman" w:cs="Times New Roman"/>
          <w:color w:val="auto"/>
          <w:lang w:eastAsia="en-GB"/>
        </w:rPr>
        <w:t xml:space="preserve"> slides 13 + 14 </w:t>
      </w:r>
      <w:hyperlink r:id="R9b1d872d8cb84619">
        <w:r w:rsidRPr="2421E3F3" w:rsidR="250CF50B">
          <w:rPr>
            <w:rStyle w:val="Hyperlink"/>
            <w:rFonts w:ascii="Aptos" w:hAnsi="Aptos" w:eastAsia="Times New Roman" w:cs="Times New Roman"/>
            <w:color w:val="auto"/>
            <w:lang w:eastAsia="en-GB"/>
          </w:rPr>
          <w:t>here</w:t>
        </w:r>
      </w:hyperlink>
      <w:r w:rsidRPr="2421E3F3" w:rsidR="250CF50B">
        <w:rPr>
          <w:rFonts w:ascii="Aptos" w:hAnsi="Aptos" w:eastAsia="Times New Roman" w:cs="Times New Roman"/>
          <w:color w:val="auto"/>
          <w:lang w:eastAsia="en-GB"/>
        </w:rPr>
        <w:t>.</w:t>
      </w:r>
    </w:p>
    <w:p w:rsidR="34A129E7" w:rsidP="2421E3F3" w:rsidRDefault="34A129E7" w14:paraId="0181EBDB" w14:textId="022549D3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</w:p>
    <w:p w:rsidR="34A129E7" w:rsidP="2421E3F3" w:rsidRDefault="34A129E7" w14:paraId="4600DEE0" w14:textId="00A0233E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  <w:r w:rsidRPr="2421E3F3" w:rsidR="250CF50B">
        <w:rPr>
          <w:rFonts w:ascii="Aptos" w:hAnsi="Aptos" w:eastAsia="Times New Roman" w:cs="Times New Roman"/>
          <w:color w:val="auto"/>
          <w:lang w:eastAsia="en-GB"/>
        </w:rPr>
        <w:t>They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have also integrated 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>AccuRX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and Hero </w:t>
      </w:r>
      <w:r w:rsidRPr="2421E3F3" w:rsidR="39F5B9EE">
        <w:rPr>
          <w:rFonts w:ascii="Aptos" w:hAnsi="Aptos" w:eastAsia="Times New Roman" w:cs="Times New Roman"/>
          <w:color w:val="auto"/>
          <w:lang w:eastAsia="en-GB"/>
        </w:rPr>
        <w:t>H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>ealth</w:t>
      </w:r>
      <w:r w:rsidRPr="2421E3F3" w:rsidR="40A188A4">
        <w:rPr>
          <w:rFonts w:ascii="Aptos" w:hAnsi="Aptos" w:eastAsia="Times New Roman" w:cs="Times New Roman"/>
          <w:color w:val="auto"/>
          <w:lang w:eastAsia="en-GB"/>
        </w:rPr>
        <w:t>.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</w:t>
      </w:r>
      <w:r w:rsidRPr="2421E3F3" w:rsidR="23EE130A">
        <w:rPr>
          <w:rFonts w:ascii="Aptos" w:hAnsi="Aptos" w:eastAsia="Times New Roman" w:cs="Times New Roman"/>
          <w:color w:val="auto"/>
          <w:lang w:eastAsia="en-GB"/>
        </w:rPr>
        <w:t>A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ny 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>E</w:t>
      </w:r>
      <w:r w:rsidRPr="2421E3F3" w:rsidR="0D41F37F">
        <w:rPr>
          <w:rFonts w:ascii="Aptos" w:hAnsi="Aptos" w:eastAsia="Times New Roman" w:cs="Times New Roman"/>
          <w:color w:val="auto"/>
          <w:lang w:eastAsia="en-GB"/>
        </w:rPr>
        <w:t>MIS</w:t>
      </w:r>
      <w:r w:rsidRPr="2421E3F3" w:rsidR="71D39D28">
        <w:rPr>
          <w:rFonts w:ascii="Aptos" w:hAnsi="Aptos" w:eastAsia="Times New Roman" w:cs="Times New Roman"/>
          <w:color w:val="auto"/>
          <w:lang w:eastAsia="en-GB"/>
        </w:rPr>
        <w:t xml:space="preserve"> partne</w:t>
      </w:r>
      <w:r w:rsidRPr="2421E3F3" w:rsidR="489BAEFC">
        <w:rPr>
          <w:rFonts w:ascii="Aptos" w:hAnsi="Aptos" w:eastAsia="Times New Roman" w:cs="Times New Roman"/>
          <w:color w:val="auto"/>
          <w:lang w:eastAsia="en-GB"/>
        </w:rPr>
        <w:t xml:space="preserve">r </w:t>
      </w:r>
      <w:r w:rsidRPr="2421E3F3" w:rsidR="08C401D9">
        <w:rPr>
          <w:rFonts w:ascii="Aptos" w:hAnsi="Aptos" w:eastAsia="Times New Roman" w:cs="Times New Roman"/>
          <w:color w:val="auto"/>
          <w:lang w:eastAsia="en-GB"/>
        </w:rPr>
        <w:t>should</w:t>
      </w:r>
      <w:r w:rsidRPr="2421E3F3" w:rsidR="489BAEFC">
        <w:rPr>
          <w:rFonts w:ascii="Aptos" w:hAnsi="Aptos" w:eastAsia="Times New Roman" w:cs="Times New Roman"/>
          <w:color w:val="auto"/>
          <w:lang w:eastAsia="en-GB"/>
        </w:rPr>
        <w:t xml:space="preserve"> be able to </w:t>
      </w:r>
      <w:r w:rsidRPr="2421E3F3" w:rsidR="79310811">
        <w:rPr>
          <w:rFonts w:ascii="Aptos" w:hAnsi="Aptos" w:eastAsia="Times New Roman" w:cs="Times New Roman"/>
          <w:color w:val="auto"/>
          <w:lang w:eastAsia="en-GB"/>
        </w:rPr>
        <w:t>integrate seamlessly</w:t>
      </w:r>
      <w:r w:rsidRPr="2421E3F3" w:rsidR="489BAEFC">
        <w:rPr>
          <w:rFonts w:ascii="Aptos" w:hAnsi="Aptos" w:eastAsia="Times New Roman" w:cs="Times New Roman"/>
          <w:color w:val="auto"/>
          <w:lang w:eastAsia="en-GB"/>
        </w:rPr>
        <w:t xml:space="preserve">. </w:t>
      </w:r>
    </w:p>
    <w:p w:rsidR="34A129E7" w:rsidP="2421E3F3" w:rsidRDefault="34A129E7" w14:paraId="499BA975" w14:textId="36D4116C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</w:p>
    <w:p w:rsidR="34A129E7" w:rsidP="2421E3F3" w:rsidRDefault="34A129E7" w14:paraId="14CE7AB4" w14:textId="40B1BAC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ptos" w:hAnsi="Aptos" w:eastAsia="Times New Roman" w:cs="Times New Roman"/>
          <w:color w:val="auto"/>
          <w:lang w:eastAsia="en-GB"/>
        </w:rPr>
      </w:pPr>
      <w:r w:rsidRPr="2421E3F3" w:rsidR="4A1197E7">
        <w:rPr>
          <w:rFonts w:ascii="Aptos" w:hAnsi="Aptos" w:eastAsia="Times New Roman" w:cs="Times New Roman"/>
          <w:color w:val="auto"/>
          <w:lang w:eastAsia="en-GB"/>
        </w:rPr>
        <w:t>Other integrations that are current being explored are Cerner and ICE.</w:t>
      </w:r>
    </w:p>
    <w:p w:rsidR="2421E3F3" w:rsidP="2421E3F3" w:rsidRDefault="2421E3F3" w14:paraId="31913A4D" w14:textId="2171BBD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ptos" w:hAnsi="Aptos" w:eastAsia="Times New Roman" w:cs="Times New Roman"/>
          <w:color w:val="FF0000"/>
          <w:lang w:eastAsia="en-GB"/>
        </w:rPr>
      </w:pPr>
    </w:p>
    <w:p w:rsidR="00D46E96" w:rsidP="4CAF3F85" w:rsidRDefault="00D46E96" w14:paraId="0C44E54D" w14:textId="2E3C6656">
      <w:pPr>
        <w:pStyle w:val="Heading2"/>
        <w:rPr>
          <w:b w:val="1"/>
          <w:bCs w:val="1"/>
        </w:rPr>
      </w:pPr>
      <w:bookmarkStart w:name="_Toc444523420" w:id="2019388778"/>
      <w:r w:rsidRPr="4CAF3F85" w:rsidR="7F71E89A">
        <w:rPr>
          <w:b w:val="1"/>
          <w:bCs w:val="1"/>
        </w:rPr>
        <w:t xml:space="preserve">How can an </w:t>
      </w:r>
      <w:r w:rsidRPr="4CAF3F85" w:rsidR="7F71E89A">
        <w:rPr>
          <w:b w:val="1"/>
          <w:bCs w:val="1"/>
        </w:rPr>
        <w:t>eHub</w:t>
      </w:r>
      <w:r w:rsidRPr="4CAF3F85" w:rsidR="7F71E89A">
        <w:rPr>
          <w:b w:val="1"/>
          <w:bCs w:val="1"/>
        </w:rPr>
        <w:t xml:space="preserve"> be setup if some practices within the PCN use SystemOne?</w:t>
      </w:r>
      <w:bookmarkEnd w:id="2019388778"/>
    </w:p>
    <w:p w:rsidR="34A129E7" w:rsidP="34A129E7" w:rsidRDefault="34A129E7" w14:paraId="41644A50" w14:textId="3A644BB7">
      <w:pPr>
        <w:pStyle w:val="Normal"/>
      </w:pPr>
    </w:p>
    <w:p w:rsidR="74910323" w:rsidP="2421E3F3" w:rsidRDefault="74910323" w14:paraId="7CED1B42" w14:textId="6DB3A14C">
      <w:pPr>
        <w:pStyle w:val="Normal"/>
        <w:rPr>
          <w:rFonts w:ascii="Aptos" w:hAnsi="Aptos" w:eastAsia="Times New Roman" w:cs="Times New Roman"/>
          <w:color w:val="auto"/>
          <w:lang w:eastAsia="en-GB"/>
        </w:rPr>
      </w:pPr>
      <w:r w:rsidRPr="2421E3F3" w:rsidR="405C5052">
        <w:rPr>
          <w:color w:val="auto"/>
        </w:rPr>
        <w:t>PCNs can connect EMIS and System One practices via</w:t>
      </w:r>
      <w:r w:rsidRPr="2421E3F3" w:rsidR="74910323">
        <w:rPr>
          <w:color w:val="auto"/>
        </w:rPr>
        <w:t xml:space="preserve"> GP connect. </w:t>
      </w:r>
      <w:r w:rsidRPr="2421E3F3" w:rsidR="74910323">
        <w:rPr>
          <w:color w:val="auto"/>
        </w:rPr>
        <w:t>E</w:t>
      </w:r>
      <w:r w:rsidRPr="2421E3F3" w:rsidR="727AB866">
        <w:rPr>
          <w:color w:val="auto"/>
        </w:rPr>
        <w:t>MIS</w:t>
      </w:r>
      <w:r w:rsidRPr="2421E3F3" w:rsidR="74910323">
        <w:rPr>
          <w:color w:val="auto"/>
        </w:rPr>
        <w:t xml:space="preserve"> Hub can see the SystemOne </w:t>
      </w:r>
      <w:r w:rsidRPr="2421E3F3" w:rsidR="74910323">
        <w:rPr>
          <w:color w:val="auto"/>
        </w:rPr>
        <w:t>notes, but</w:t>
      </w:r>
      <w:r w:rsidRPr="2421E3F3" w:rsidR="74910323">
        <w:rPr>
          <w:color w:val="auto"/>
        </w:rPr>
        <w:t xml:space="preserve"> </w:t>
      </w:r>
      <w:r w:rsidRPr="2421E3F3" w:rsidR="74910323">
        <w:rPr>
          <w:color w:val="auto"/>
        </w:rPr>
        <w:t>can not</w:t>
      </w:r>
      <w:r w:rsidRPr="2421E3F3" w:rsidR="74910323">
        <w:rPr>
          <w:color w:val="auto"/>
        </w:rPr>
        <w:t xml:space="preserve"> write back. </w:t>
      </w:r>
      <w:r w:rsidRPr="2421E3F3" w:rsidR="51867B54">
        <w:rPr>
          <w:color w:val="auto"/>
        </w:rPr>
        <w:t>F</w:t>
      </w:r>
      <w:r w:rsidRPr="2421E3F3" w:rsidR="74910323">
        <w:rPr>
          <w:color w:val="auto"/>
        </w:rPr>
        <w:t xml:space="preserve">or these patients, a discharge summary needs to be sent back to the practice. </w:t>
      </w:r>
      <w:r w:rsidRPr="2421E3F3" w:rsidR="5D2E4E8E">
        <w:rPr>
          <w:color w:val="auto"/>
        </w:rPr>
        <w:t>For more details see</w:t>
      </w:r>
      <w:r w:rsidRPr="2421E3F3" w:rsidR="5380DF3F">
        <w:rPr>
          <w:color w:val="auto"/>
        </w:rPr>
        <w:t xml:space="preserve"> slide 15 </w:t>
      </w:r>
      <w:hyperlink r:id="R185a51868b9043e2">
        <w:r w:rsidRPr="2421E3F3" w:rsidR="5380DF3F">
          <w:rPr>
            <w:rStyle w:val="Hyperlink"/>
            <w:rFonts w:ascii="Aptos" w:hAnsi="Aptos" w:eastAsia="Times New Roman" w:cs="Times New Roman"/>
            <w:color w:val="auto"/>
            <w:lang w:eastAsia="en-GB"/>
          </w:rPr>
          <w:t>here</w:t>
        </w:r>
      </w:hyperlink>
      <w:r w:rsidRPr="2421E3F3" w:rsidR="5380DF3F">
        <w:rPr>
          <w:rFonts w:ascii="Aptos" w:hAnsi="Aptos" w:eastAsia="Times New Roman" w:cs="Times New Roman"/>
          <w:color w:val="auto"/>
          <w:lang w:eastAsia="en-GB"/>
        </w:rPr>
        <w:t>.</w:t>
      </w:r>
    </w:p>
    <w:sectPr w:rsidR="00D46E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6447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83fb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24b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d2b0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fb669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837990"/>
    <w:multiLevelType w:val="hybridMultilevel"/>
    <w:tmpl w:val="A4CA6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22009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34"/>
    <w:rsid w:val="0063469F"/>
    <w:rsid w:val="00844977"/>
    <w:rsid w:val="00852734"/>
    <w:rsid w:val="00D46E96"/>
    <w:rsid w:val="06AFC9A0"/>
    <w:rsid w:val="06AFC9A0"/>
    <w:rsid w:val="08C401D9"/>
    <w:rsid w:val="0BC6D66D"/>
    <w:rsid w:val="0D41F37F"/>
    <w:rsid w:val="0E5C6F7C"/>
    <w:rsid w:val="0F91E0A5"/>
    <w:rsid w:val="10B68050"/>
    <w:rsid w:val="10CDB06F"/>
    <w:rsid w:val="117252E9"/>
    <w:rsid w:val="11FE96B7"/>
    <w:rsid w:val="1246EA00"/>
    <w:rsid w:val="137F3A26"/>
    <w:rsid w:val="14815291"/>
    <w:rsid w:val="154EDF79"/>
    <w:rsid w:val="16EAAFDA"/>
    <w:rsid w:val="17CE5043"/>
    <w:rsid w:val="1852AB49"/>
    <w:rsid w:val="1957198D"/>
    <w:rsid w:val="19EE7BAA"/>
    <w:rsid w:val="1A0FF49C"/>
    <w:rsid w:val="1A188933"/>
    <w:rsid w:val="1A92E516"/>
    <w:rsid w:val="1B8A4C0B"/>
    <w:rsid w:val="1BC277D1"/>
    <w:rsid w:val="1CBE3779"/>
    <w:rsid w:val="1D261C6C"/>
    <w:rsid w:val="1EFA1893"/>
    <w:rsid w:val="200703E3"/>
    <w:rsid w:val="2215469C"/>
    <w:rsid w:val="23D12068"/>
    <w:rsid w:val="23EE130A"/>
    <w:rsid w:val="2403803E"/>
    <w:rsid w:val="240C3262"/>
    <w:rsid w:val="2421E3F3"/>
    <w:rsid w:val="246D9D60"/>
    <w:rsid w:val="250CF50B"/>
    <w:rsid w:val="256CF0C9"/>
    <w:rsid w:val="26F3F66B"/>
    <w:rsid w:val="273990EB"/>
    <w:rsid w:val="279D836D"/>
    <w:rsid w:val="28922E1D"/>
    <w:rsid w:val="28DA7BF2"/>
    <w:rsid w:val="293953CE"/>
    <w:rsid w:val="2A44B8C0"/>
    <w:rsid w:val="2F5BF1E2"/>
    <w:rsid w:val="302A3103"/>
    <w:rsid w:val="31FE7682"/>
    <w:rsid w:val="32F47767"/>
    <w:rsid w:val="34A129E7"/>
    <w:rsid w:val="35876B67"/>
    <w:rsid w:val="39F5B9EE"/>
    <w:rsid w:val="3A5BBF67"/>
    <w:rsid w:val="3C4053D5"/>
    <w:rsid w:val="3CC2A71D"/>
    <w:rsid w:val="3F8162F6"/>
    <w:rsid w:val="3F90D3C7"/>
    <w:rsid w:val="4004916F"/>
    <w:rsid w:val="4008E843"/>
    <w:rsid w:val="405C5052"/>
    <w:rsid w:val="40A188A4"/>
    <w:rsid w:val="42EDD2D4"/>
    <w:rsid w:val="43085D3F"/>
    <w:rsid w:val="4461215A"/>
    <w:rsid w:val="44DC5966"/>
    <w:rsid w:val="46816ADA"/>
    <w:rsid w:val="47D937A2"/>
    <w:rsid w:val="489BAEFC"/>
    <w:rsid w:val="48AE7B72"/>
    <w:rsid w:val="48AE7B72"/>
    <w:rsid w:val="4A1197E7"/>
    <w:rsid w:val="4A8F6D3F"/>
    <w:rsid w:val="4CAF3F85"/>
    <w:rsid w:val="4D79E70E"/>
    <w:rsid w:val="4F914A87"/>
    <w:rsid w:val="500F24C3"/>
    <w:rsid w:val="51867B54"/>
    <w:rsid w:val="51FE7199"/>
    <w:rsid w:val="5380DF3F"/>
    <w:rsid w:val="5900BDC1"/>
    <w:rsid w:val="594FE0F6"/>
    <w:rsid w:val="5C7C0F9B"/>
    <w:rsid w:val="5C9B6A2A"/>
    <w:rsid w:val="5D2E4E8E"/>
    <w:rsid w:val="5D553D7D"/>
    <w:rsid w:val="620AED24"/>
    <w:rsid w:val="629B5897"/>
    <w:rsid w:val="629B5897"/>
    <w:rsid w:val="639B603B"/>
    <w:rsid w:val="64F95C89"/>
    <w:rsid w:val="65428DE6"/>
    <w:rsid w:val="65D35446"/>
    <w:rsid w:val="676F24A7"/>
    <w:rsid w:val="6ABBEFE6"/>
    <w:rsid w:val="6BC39803"/>
    <w:rsid w:val="6D464007"/>
    <w:rsid w:val="6DF15871"/>
    <w:rsid w:val="6F750C88"/>
    <w:rsid w:val="71D39D28"/>
    <w:rsid w:val="727AB866"/>
    <w:rsid w:val="73C3506D"/>
    <w:rsid w:val="747E6437"/>
    <w:rsid w:val="74910323"/>
    <w:rsid w:val="76014CE0"/>
    <w:rsid w:val="77FFF2FC"/>
    <w:rsid w:val="78902A78"/>
    <w:rsid w:val="79310811"/>
    <w:rsid w:val="79BF2925"/>
    <w:rsid w:val="79EE7C83"/>
    <w:rsid w:val="7A9CAB6A"/>
    <w:rsid w:val="7AB73ED2"/>
    <w:rsid w:val="7AF06929"/>
    <w:rsid w:val="7D4EDDD1"/>
    <w:rsid w:val="7E6A712C"/>
    <w:rsid w:val="7F345417"/>
    <w:rsid w:val="7F71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48923"/>
  <w15:chartTrackingRefBased/>
  <w15:docId w15:val="{2EAC2A61-98CB-1E49-9382-E82BFF1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ntentpasted0" w:customStyle="1">
    <w:name w:val="contentpasted0"/>
    <w:basedOn w:val="DefaultParagraphFont"/>
    <w:rsid w:val="00852734"/>
  </w:style>
  <w:style w:type="character" w:styleId="Hyperlink">
    <w:name w:val="Hyperlink"/>
    <w:basedOn w:val="DefaultParagraphFont"/>
    <w:uiPriority w:val="99"/>
    <w:unhideWhenUsed/>
    <w:rsid w:val="00844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97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TOC2" mc:Ignorable="w14">
    <w:name xmlns:w="http://schemas.openxmlformats.org/wordprocessingml/2006/main" w:val="toc 2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22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sharon.jackson42@nhs.net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nuwar.hussain1@nhs.net?subject=eHub%20Support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emisnow.com/csm?id=pcn_hubs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nhs.sharepoint.com/:p:/s/msteams_af693b/EeYHKlTSgT9Kku5LN6IzlUQBjz0m58DeKT4aH05VMnEMzw?e=yVkbIG" TargetMode="External" Id="R9b1d872d8cb84619" /><Relationship Type="http://schemas.openxmlformats.org/officeDocument/2006/relationships/hyperlink" Target="https://nhs.sharepoint.com/:p:/s/msteams_af693b/EeYHKlTSgT9Kku5LN6IzlUQBjz0m58DeKT4aH05VMnEMzw?e=yVkbIG" TargetMode="External" Id="R185a51868b9043e2" /><Relationship Type="http://schemas.openxmlformats.org/officeDocument/2006/relationships/glossaryDocument" Target="glossary/document.xml" Id="Rfd6aca77219c45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15e-4612-46b8-aa35-130b259d5de0}"/>
      </w:docPartPr>
      <w:docPartBody>
        <w:p w14:paraId="3FDE3666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AE00E0E19B4AA238B85F04ADECD5" ma:contentTypeVersion="19" ma:contentTypeDescription="Create a new document." ma:contentTypeScope="" ma:versionID="0048b7af02df63f181708a6ff8977aff">
  <xsd:schema xmlns:xsd="http://www.w3.org/2001/XMLSchema" xmlns:xs="http://www.w3.org/2001/XMLSchema" xmlns:p="http://schemas.microsoft.com/office/2006/metadata/properties" xmlns:ns1="http://schemas.microsoft.com/sharepoint/v3" xmlns:ns2="d6bd190e-c6f9-465d-92aa-20aa6aa23a49" xmlns:ns3="c546125a-0805-479c-b5e1-c96f9fbd12f5" targetNamespace="http://schemas.microsoft.com/office/2006/metadata/properties" ma:root="true" ma:fieldsID="fc3fe71a89fa95d0296f3347d938f63b" ns1:_="" ns2:_="" ns3:_="">
    <xsd:import namespace="http://schemas.microsoft.com/sharepoint/v3"/>
    <xsd:import namespace="d6bd190e-c6f9-465d-92aa-20aa6aa23a49"/>
    <xsd:import namespace="c546125a-0805-479c-b5e1-c96f9fbd1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190e-c6f9-465d-92aa-20aa6aa23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125a-0805-479c-b5e1-c96f9fbd1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307c94-7d63-49ea-84b8-a7a40469182a}" ma:internalName="TaxCatchAll" ma:showField="CatchAllData" ma:web="c546125a-0805-479c-b5e1-c96f9fbd1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546125a-0805-479c-b5e1-c96f9fbd12f5" xsi:nil="true"/>
    <lcf76f155ced4ddcb4097134ff3c332f xmlns="d6bd190e-c6f9-465d-92aa-20aa6aa23a4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33EE7-ED5F-49CA-BDFE-09AB2EEF2BB0}"/>
</file>

<file path=customXml/itemProps2.xml><?xml version="1.0" encoding="utf-8"?>
<ds:datastoreItem xmlns:ds="http://schemas.openxmlformats.org/officeDocument/2006/customXml" ds:itemID="{38A271E7-A15D-4558-95C3-70A814B85A27}"/>
</file>

<file path=customXml/itemProps3.xml><?xml version="1.0" encoding="utf-8"?>
<ds:datastoreItem xmlns:ds="http://schemas.openxmlformats.org/officeDocument/2006/customXml" ds:itemID="{85D59538-EC3C-4F71-B7FC-1EA8FBD9AD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KALLARACKAL, Joseph (NHS NORTH EAST LONDON ICB - A3A8R)</dc:creator>
  <keywords/>
  <dc:description/>
  <lastModifiedBy>KALLARACKAL, Joseph (NHS NORTH EAST LONDON ICB - A3A8R)</lastModifiedBy>
  <revision>9</revision>
  <dcterms:created xsi:type="dcterms:W3CDTF">2023-08-17T09:55:00.0000000Z</dcterms:created>
  <dcterms:modified xsi:type="dcterms:W3CDTF">2023-10-11T18:08:54.2894846Z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0x010100BAE0AE00E0E19B4AA238B85F04ADECD5</vt:lpwstr>
  </property>
  <property fmtid="{D5CDD505-2E9C-101B-9397-08002B2CF9AE}" pid="3" name="MediaServiceImageTags">
    <vt:lpwstr/>
  </property>
</Properties>
</file>