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BEE7E" w14:textId="77777777" w:rsidR="00A04B05" w:rsidRPr="007A1FFF" w:rsidRDefault="00A04B05" w:rsidP="007A1FFF">
      <w:pPr>
        <w:pStyle w:val="Title"/>
        <w:jc w:val="center"/>
        <w:rPr>
          <w:rFonts w:ascii="Times" w:hAnsi="Times" w:cs="Times"/>
          <w:b/>
          <w:sz w:val="30"/>
          <w:szCs w:val="40"/>
        </w:rPr>
      </w:pPr>
      <w:bookmarkStart w:id="0" w:name="_GoBack"/>
      <w:bookmarkEnd w:id="0"/>
      <w:r w:rsidRPr="007A1FFF">
        <w:rPr>
          <w:b/>
          <w:sz w:val="30"/>
          <w:szCs w:val="40"/>
        </w:rPr>
        <w:t>Sacubitril valsartan (Entresto®) for patients with symptomatic chronic heart failure</w:t>
      </w:r>
    </w:p>
    <w:p w14:paraId="4F73BCA4" w14:textId="77777777" w:rsidR="00310E13" w:rsidRDefault="00A04B05" w:rsidP="007A1FFF">
      <w:pPr>
        <w:widowControl w:val="0"/>
        <w:autoSpaceDE w:val="0"/>
        <w:autoSpaceDN w:val="0"/>
        <w:adjustRightInd w:val="0"/>
        <w:jc w:val="center"/>
        <w:rPr>
          <w:rFonts w:asciiTheme="majorHAnsi" w:hAnsiTheme="majorHAnsi"/>
          <w:color w:val="548DD4" w:themeColor="text2" w:themeTint="99"/>
          <w:sz w:val="22"/>
          <w:szCs w:val="22"/>
        </w:rPr>
      </w:pPr>
      <w:r w:rsidRPr="00A04B05">
        <w:rPr>
          <w:rFonts w:ascii="Calibri" w:hAnsi="Calibri" w:cs="Calibri"/>
          <w:sz w:val="22"/>
          <w:szCs w:val="22"/>
        </w:rPr>
        <w:t>North East and North Central London Position statement</w:t>
      </w:r>
    </w:p>
    <w:p w14:paraId="2DBCB5BF" w14:textId="4A724557" w:rsidR="00834865" w:rsidRPr="009B47C8" w:rsidRDefault="00310E13" w:rsidP="007A1FFF">
      <w:pPr>
        <w:widowControl w:val="0"/>
        <w:autoSpaceDE w:val="0"/>
        <w:autoSpaceDN w:val="0"/>
        <w:adjustRightInd w:val="0"/>
        <w:jc w:val="center"/>
        <w:rPr>
          <w:rFonts w:asciiTheme="majorHAnsi" w:hAnsiTheme="majorHAnsi"/>
          <w:color w:val="1F497D" w:themeColor="text2"/>
          <w:sz w:val="22"/>
          <w:szCs w:val="22"/>
        </w:rPr>
      </w:pPr>
      <w:r w:rsidRPr="009B47C8">
        <w:rPr>
          <w:rFonts w:asciiTheme="majorHAnsi" w:hAnsiTheme="majorHAnsi"/>
          <w:color w:val="1F497D" w:themeColor="text2"/>
          <w:sz w:val="22"/>
          <w:szCs w:val="22"/>
        </w:rPr>
        <w:t>Ve</w:t>
      </w:r>
      <w:r w:rsidR="00A40DDB" w:rsidRPr="009B47C8">
        <w:rPr>
          <w:rFonts w:asciiTheme="majorHAnsi" w:hAnsiTheme="majorHAnsi"/>
          <w:color w:val="1F497D" w:themeColor="text2"/>
          <w:sz w:val="22"/>
          <w:szCs w:val="22"/>
        </w:rPr>
        <w:t xml:space="preserve">rsion 2 revised </w:t>
      </w:r>
      <w:r w:rsidR="000417E4" w:rsidRPr="009B47C8">
        <w:rPr>
          <w:rFonts w:asciiTheme="majorHAnsi" w:hAnsiTheme="majorHAnsi"/>
          <w:color w:val="1F497D" w:themeColor="text2"/>
          <w:sz w:val="22"/>
          <w:szCs w:val="22"/>
        </w:rPr>
        <w:t>January 2019</w:t>
      </w:r>
      <w:r w:rsidR="00A40DDB" w:rsidRPr="009B47C8">
        <w:rPr>
          <w:rFonts w:asciiTheme="majorHAnsi" w:hAnsiTheme="majorHAnsi"/>
          <w:color w:val="1F497D" w:themeColor="text2"/>
          <w:sz w:val="22"/>
          <w:szCs w:val="22"/>
        </w:rPr>
        <w:t xml:space="preserve"> (Version 1 June 2016</w:t>
      </w:r>
      <w:r w:rsidR="009B0BC9" w:rsidRPr="009B47C8">
        <w:rPr>
          <w:rFonts w:asciiTheme="majorHAnsi" w:hAnsiTheme="majorHAnsi"/>
          <w:color w:val="1F497D" w:themeColor="text2"/>
          <w:sz w:val="22"/>
          <w:szCs w:val="22"/>
        </w:rPr>
        <w:t>)</w:t>
      </w:r>
    </w:p>
    <w:p w14:paraId="3B951FB4" w14:textId="00882C14" w:rsidR="00E73225" w:rsidRDefault="00310E13" w:rsidP="00A40DDB">
      <w:pPr>
        <w:widowControl w:val="0"/>
        <w:autoSpaceDE w:val="0"/>
        <w:autoSpaceDN w:val="0"/>
        <w:adjustRightInd w:val="0"/>
        <w:rPr>
          <w:rFonts w:asciiTheme="majorHAnsi" w:hAnsiTheme="majorHAnsi"/>
          <w:color w:val="0070C0"/>
          <w:sz w:val="22"/>
          <w:szCs w:val="22"/>
        </w:rPr>
      </w:pPr>
      <w:r>
        <w:rPr>
          <w:rFonts w:asciiTheme="majorHAnsi" w:hAnsiTheme="majorHAnsi"/>
          <w:b/>
          <w:noProof/>
          <w:sz w:val="22"/>
          <w:szCs w:val="22"/>
          <w:lang w:val="en-GB" w:eastAsia="en-GB"/>
        </w:rPr>
        <mc:AlternateContent>
          <mc:Choice Requires="wps">
            <w:drawing>
              <wp:anchor distT="0" distB="0" distL="114300" distR="114300" simplePos="0" relativeHeight="251659264" behindDoc="1" locked="0" layoutInCell="1" allowOverlap="1" wp14:anchorId="06A3C9A4" wp14:editId="493777D0">
                <wp:simplePos x="0" y="0"/>
                <wp:positionH relativeFrom="column">
                  <wp:posOffset>-120015</wp:posOffset>
                </wp:positionH>
                <wp:positionV relativeFrom="paragraph">
                  <wp:posOffset>125731</wp:posOffset>
                </wp:positionV>
                <wp:extent cx="6515100" cy="4591050"/>
                <wp:effectExtent l="57150" t="19050" r="76200" b="95250"/>
                <wp:wrapNone/>
                <wp:docPr id="3" name="Rectangle 3"/>
                <wp:cNvGraphicFramePr/>
                <a:graphic xmlns:a="http://schemas.openxmlformats.org/drawingml/2006/main">
                  <a:graphicData uri="http://schemas.microsoft.com/office/word/2010/wordprocessingShape">
                    <wps:wsp>
                      <wps:cNvSpPr/>
                      <wps:spPr>
                        <a:xfrm>
                          <a:off x="0" y="0"/>
                          <a:ext cx="6515100" cy="4591050"/>
                        </a:xfrm>
                        <a:prstGeom prst="rect">
                          <a:avLst/>
                        </a:prstGeom>
                        <a:noFill/>
                        <a:ln w="25400">
                          <a:solidFill>
                            <a:schemeClr val="accent1">
                              <a:shade val="95000"/>
                              <a:satMod val="10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427BE" id="Rectangle 3" o:spid="_x0000_s1026" style="position:absolute;margin-left:-9.45pt;margin-top:9.9pt;width:513pt;height:3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" filled="f" strokecolor="#4579b8 [3044]" strokeweight="2pt">
                <v:shadow on="t" color="black" opacity="22937f" origin=",.5" offset="0,.63889mm"/>
              </v:rect>
            </w:pict>
          </mc:Fallback>
        </mc:AlternateContent>
      </w:r>
    </w:p>
    <w:p w14:paraId="78E0A293" w14:textId="2E07E926" w:rsidR="00310E13" w:rsidRPr="000417E4" w:rsidRDefault="00310E13" w:rsidP="00310E13">
      <w:pPr>
        <w:rPr>
          <w:rFonts w:asciiTheme="majorHAnsi" w:hAnsiTheme="majorHAnsi"/>
          <w:b/>
          <w:szCs w:val="22"/>
        </w:rPr>
      </w:pPr>
      <w:r w:rsidRPr="000417E4">
        <w:rPr>
          <w:rFonts w:asciiTheme="majorHAnsi" w:hAnsiTheme="majorHAnsi"/>
          <w:b/>
          <w:szCs w:val="22"/>
        </w:rPr>
        <w:t>Summary</w:t>
      </w:r>
    </w:p>
    <w:p w14:paraId="443A9329" w14:textId="48391772" w:rsidR="00310E13" w:rsidRPr="000417E4" w:rsidRDefault="00310E13" w:rsidP="00310E13">
      <w:pPr>
        <w:rPr>
          <w:rFonts w:asciiTheme="majorHAnsi" w:hAnsiTheme="majorHAnsi"/>
          <w:szCs w:val="22"/>
        </w:rPr>
      </w:pPr>
      <w:r w:rsidRPr="000417E4">
        <w:rPr>
          <w:rFonts w:asciiTheme="majorHAnsi" w:hAnsiTheme="majorHAnsi"/>
          <w:szCs w:val="22"/>
        </w:rPr>
        <w:t xml:space="preserve">Sacubitril Valsartan (Entresto®) is licensed for the treatment of symptomatic chronic heart failure in adults with reduced ejection fraction and it can be used in North East and North Central London in line with NICE Technology Appraisal (TA) 388 (NICE TA 388). </w:t>
      </w:r>
    </w:p>
    <w:p w14:paraId="51455CFC" w14:textId="77777777" w:rsidR="00310E13" w:rsidRPr="006D45F4" w:rsidRDefault="00310E13" w:rsidP="00310E13">
      <w:pPr>
        <w:rPr>
          <w:rFonts w:asciiTheme="majorHAnsi" w:hAnsiTheme="majorHAnsi"/>
          <w:sz w:val="16"/>
          <w:szCs w:val="16"/>
        </w:rPr>
      </w:pPr>
    </w:p>
    <w:p w14:paraId="162C6FDA" w14:textId="135741A2" w:rsidR="00310E13" w:rsidRPr="00310E13" w:rsidRDefault="00310E13" w:rsidP="00310E13">
      <w:pPr>
        <w:pStyle w:val="ListParagraph"/>
        <w:numPr>
          <w:ilvl w:val="0"/>
          <w:numId w:val="23"/>
        </w:numPr>
        <w:spacing w:after="240"/>
        <w:rPr>
          <w:rFonts w:asciiTheme="majorHAnsi" w:hAnsiTheme="majorHAnsi"/>
          <w:i/>
          <w:sz w:val="22"/>
          <w:szCs w:val="22"/>
        </w:rPr>
      </w:pPr>
      <w:r w:rsidRPr="007A1FFF">
        <w:rPr>
          <w:rFonts w:asciiTheme="majorHAnsi" w:hAnsiTheme="majorHAnsi"/>
          <w:b/>
          <w:sz w:val="22"/>
          <w:szCs w:val="22"/>
        </w:rPr>
        <w:t xml:space="preserve">Initiation: </w:t>
      </w:r>
      <w:r w:rsidRPr="007A1FFF">
        <w:rPr>
          <w:rFonts w:asciiTheme="majorHAnsi" w:hAnsiTheme="majorHAnsi"/>
          <w:sz w:val="22"/>
          <w:szCs w:val="22"/>
        </w:rPr>
        <w:t>Initiation of sacubitril valsartan (</w:t>
      </w:r>
      <w:r>
        <w:rPr>
          <w:rFonts w:asciiTheme="majorHAnsi" w:hAnsiTheme="majorHAnsi"/>
          <w:sz w:val="22"/>
          <w:szCs w:val="22"/>
        </w:rPr>
        <w:t>Entresto</w:t>
      </w:r>
      <w:r w:rsidRPr="00E73225">
        <w:rPr>
          <w:rFonts w:asciiTheme="majorHAnsi" w:hAnsiTheme="majorHAnsi"/>
          <w:sz w:val="22"/>
          <w:szCs w:val="22"/>
        </w:rPr>
        <w:t xml:space="preserve">®) </w:t>
      </w:r>
      <w:r w:rsidRPr="007A1FFF">
        <w:rPr>
          <w:rFonts w:asciiTheme="majorHAnsi" w:hAnsiTheme="majorHAnsi"/>
          <w:sz w:val="22"/>
          <w:szCs w:val="22"/>
        </w:rPr>
        <w:t>is to be undertaken under the direction of a consultant with an established expertise in managing patients with heart failure</w:t>
      </w:r>
      <w:r>
        <w:rPr>
          <w:rFonts w:asciiTheme="majorHAnsi" w:hAnsiTheme="majorHAnsi"/>
          <w:sz w:val="22"/>
          <w:szCs w:val="22"/>
        </w:rPr>
        <w:t xml:space="preserve"> and access to </w:t>
      </w:r>
      <w:r w:rsidRPr="00E73225">
        <w:rPr>
          <w:rFonts w:asciiTheme="majorHAnsi" w:hAnsiTheme="majorHAnsi"/>
          <w:sz w:val="22"/>
          <w:szCs w:val="22"/>
        </w:rPr>
        <w:t xml:space="preserve">a multidisciplinary team. </w:t>
      </w:r>
    </w:p>
    <w:p w14:paraId="74AD1EBA" w14:textId="77777777" w:rsidR="00310E13" w:rsidRPr="00310E13" w:rsidRDefault="00310E13" w:rsidP="00310E13">
      <w:pPr>
        <w:pStyle w:val="ListParagraph"/>
        <w:numPr>
          <w:ilvl w:val="0"/>
          <w:numId w:val="23"/>
        </w:numPr>
        <w:spacing w:after="240"/>
        <w:rPr>
          <w:rFonts w:asciiTheme="majorHAnsi" w:hAnsiTheme="majorHAnsi"/>
          <w:i/>
          <w:sz w:val="22"/>
          <w:szCs w:val="22"/>
        </w:rPr>
      </w:pPr>
      <w:r w:rsidRPr="00310E13">
        <w:rPr>
          <w:rFonts w:ascii="Calibri" w:hAnsi="Calibri" w:cs="Calibri"/>
          <w:b/>
          <w:sz w:val="22"/>
          <w:szCs w:val="22"/>
        </w:rPr>
        <w:t>Initiation</w:t>
      </w:r>
      <w:r>
        <w:rPr>
          <w:rFonts w:ascii="Calibri" w:hAnsi="Calibri" w:cs="Calibri"/>
          <w:sz w:val="22"/>
          <w:szCs w:val="22"/>
        </w:rPr>
        <w:t xml:space="preserve">: </w:t>
      </w:r>
      <w:r w:rsidRPr="00310E13">
        <w:rPr>
          <w:rFonts w:ascii="Calibri" w:hAnsi="Calibri" w:cs="Calibri"/>
          <w:sz w:val="22"/>
          <w:szCs w:val="22"/>
        </w:rPr>
        <w:t>Individual secondary care units may wish to delegate the initiation of sacubitril valsartan to community heart failure teams provided the team has a clinical lead consultant cardiologist and specialist in heart failure who has directly reviewed or had an MDT discussion regarding the patient for treatment options in line with NICE guidance. Community teams should prospectively declare their competence in writing to be able to prescribe sacubitril valsartan or else refer the patient to the consultant to initiate sacubitril valsartan</w:t>
      </w:r>
    </w:p>
    <w:p w14:paraId="41CBBD83" w14:textId="4230B4A5" w:rsidR="00310E13" w:rsidRPr="00310E13" w:rsidRDefault="00310E13" w:rsidP="00310E13">
      <w:pPr>
        <w:pStyle w:val="ListParagraph"/>
        <w:spacing w:after="240"/>
        <w:rPr>
          <w:rFonts w:asciiTheme="majorHAnsi" w:hAnsiTheme="majorHAnsi"/>
          <w:i/>
          <w:sz w:val="22"/>
          <w:szCs w:val="22"/>
        </w:rPr>
      </w:pPr>
      <w:r>
        <w:rPr>
          <w:rFonts w:asciiTheme="majorHAnsi" w:hAnsiTheme="majorHAnsi"/>
          <w:i/>
          <w:sz w:val="22"/>
          <w:szCs w:val="22"/>
        </w:rPr>
        <w:t>(</w:t>
      </w:r>
      <w:r w:rsidRPr="00310E13">
        <w:rPr>
          <w:rFonts w:asciiTheme="majorHAnsi" w:hAnsiTheme="majorHAnsi"/>
          <w:i/>
          <w:sz w:val="22"/>
          <w:szCs w:val="22"/>
        </w:rPr>
        <w:t xml:space="preserve">Sacubitril valsartan (Entresto ®) </w:t>
      </w:r>
      <w:r w:rsidRPr="00310E13">
        <w:rPr>
          <w:rFonts w:asciiTheme="majorHAnsi" w:hAnsiTheme="majorHAnsi"/>
          <w:b/>
          <w:i/>
          <w:sz w:val="22"/>
          <w:szCs w:val="22"/>
          <w:u w:val="single"/>
        </w:rPr>
        <w:t>should not</w:t>
      </w:r>
      <w:r w:rsidRPr="00310E13">
        <w:rPr>
          <w:rFonts w:asciiTheme="majorHAnsi" w:hAnsiTheme="majorHAnsi"/>
          <w:i/>
          <w:sz w:val="22"/>
          <w:szCs w:val="22"/>
        </w:rPr>
        <w:t xml:space="preserve"> be initiated by a primary care clinician who is not a part of the heart failure multidisciplinary team.</w:t>
      </w:r>
      <w:r>
        <w:rPr>
          <w:rFonts w:asciiTheme="majorHAnsi" w:hAnsiTheme="majorHAnsi"/>
          <w:i/>
          <w:sz w:val="22"/>
          <w:szCs w:val="22"/>
        </w:rPr>
        <w:t>)</w:t>
      </w:r>
    </w:p>
    <w:p w14:paraId="5BB863A5" w14:textId="71CB853E" w:rsidR="00310E13" w:rsidRPr="007A1FFF" w:rsidRDefault="00310E13" w:rsidP="006D45F4">
      <w:pPr>
        <w:pStyle w:val="ListParagraph"/>
        <w:numPr>
          <w:ilvl w:val="0"/>
          <w:numId w:val="23"/>
        </w:numPr>
        <w:rPr>
          <w:rFonts w:asciiTheme="majorHAnsi" w:hAnsiTheme="majorHAnsi"/>
          <w:b/>
          <w:sz w:val="22"/>
          <w:szCs w:val="22"/>
        </w:rPr>
      </w:pPr>
      <w:r w:rsidRPr="007A1FFF">
        <w:rPr>
          <w:rFonts w:asciiTheme="majorHAnsi" w:hAnsiTheme="majorHAnsi"/>
          <w:b/>
          <w:sz w:val="22"/>
          <w:szCs w:val="22"/>
        </w:rPr>
        <w:t>Continuation:</w:t>
      </w:r>
      <w:r w:rsidRPr="00E73225">
        <w:rPr>
          <w:rFonts w:asciiTheme="majorHAnsi" w:hAnsiTheme="majorHAnsi"/>
          <w:b/>
          <w:sz w:val="22"/>
          <w:szCs w:val="22"/>
        </w:rPr>
        <w:t xml:space="preserve"> </w:t>
      </w:r>
      <w:r w:rsidRPr="007A1FFF">
        <w:rPr>
          <w:rFonts w:asciiTheme="majorHAnsi" w:hAnsiTheme="majorHAnsi"/>
          <w:sz w:val="22"/>
          <w:szCs w:val="22"/>
        </w:rPr>
        <w:t xml:space="preserve">Following titration to optimum tolerated dose, </w:t>
      </w:r>
      <w:r>
        <w:rPr>
          <w:rFonts w:asciiTheme="majorHAnsi" w:hAnsiTheme="majorHAnsi"/>
          <w:sz w:val="22"/>
          <w:szCs w:val="22"/>
        </w:rPr>
        <w:t>sacubitril valsartan (Entresto</w:t>
      </w:r>
      <w:r w:rsidRPr="00E73225">
        <w:rPr>
          <w:rFonts w:asciiTheme="majorHAnsi" w:hAnsiTheme="majorHAnsi"/>
          <w:sz w:val="22"/>
          <w:szCs w:val="22"/>
        </w:rPr>
        <w:t>®) can be continued i</w:t>
      </w:r>
      <w:r w:rsidRPr="007A1FFF">
        <w:rPr>
          <w:rFonts w:asciiTheme="majorHAnsi" w:hAnsiTheme="majorHAnsi"/>
          <w:sz w:val="22"/>
          <w:szCs w:val="22"/>
        </w:rPr>
        <w:t>n primary care</w:t>
      </w:r>
      <w:r w:rsidRPr="00E73225">
        <w:rPr>
          <w:rFonts w:asciiTheme="majorHAnsi" w:hAnsiTheme="majorHAnsi"/>
          <w:sz w:val="22"/>
          <w:szCs w:val="22"/>
        </w:rPr>
        <w:t xml:space="preserve"> in line with the Fa</w:t>
      </w:r>
      <w:r>
        <w:rPr>
          <w:rFonts w:asciiTheme="majorHAnsi" w:hAnsiTheme="majorHAnsi"/>
          <w:sz w:val="22"/>
          <w:szCs w:val="22"/>
        </w:rPr>
        <w:t>ctsheet: Sacubitril valsartan (E</w:t>
      </w:r>
      <w:r w:rsidRPr="00E73225">
        <w:rPr>
          <w:rFonts w:asciiTheme="majorHAnsi" w:hAnsiTheme="majorHAnsi"/>
          <w:sz w:val="22"/>
          <w:szCs w:val="22"/>
        </w:rPr>
        <w:t>ntresto®) for chronic heart failure</w:t>
      </w:r>
      <w:r>
        <w:rPr>
          <w:rFonts w:asciiTheme="majorHAnsi" w:hAnsiTheme="majorHAnsi"/>
          <w:sz w:val="22"/>
          <w:szCs w:val="22"/>
        </w:rPr>
        <w:t xml:space="preserve"> with reduced ejection fraction.</w:t>
      </w:r>
    </w:p>
    <w:p w14:paraId="4BD393FF" w14:textId="77777777" w:rsidR="00310E13" w:rsidRDefault="00310E13" w:rsidP="006D45F4">
      <w:pPr>
        <w:rPr>
          <w:rFonts w:asciiTheme="majorHAnsi" w:hAnsiTheme="majorHAnsi"/>
          <w:b/>
          <w:sz w:val="22"/>
          <w:szCs w:val="22"/>
        </w:rPr>
      </w:pPr>
      <w:r w:rsidRPr="007A1FFF">
        <w:rPr>
          <w:rFonts w:asciiTheme="majorHAnsi" w:hAnsiTheme="majorHAnsi"/>
          <w:b/>
          <w:sz w:val="22"/>
          <w:szCs w:val="22"/>
        </w:rPr>
        <w:t>Useful Information</w:t>
      </w:r>
    </w:p>
    <w:p w14:paraId="47CE8DE4" w14:textId="77777777" w:rsidR="006D45F4" w:rsidRPr="006D45F4" w:rsidRDefault="006D45F4" w:rsidP="006D45F4">
      <w:pPr>
        <w:rPr>
          <w:rFonts w:asciiTheme="majorHAnsi" w:hAnsiTheme="majorHAnsi"/>
          <w:b/>
          <w:sz w:val="16"/>
          <w:szCs w:val="16"/>
        </w:rPr>
      </w:pPr>
    </w:p>
    <w:p w14:paraId="020E5806" w14:textId="7CA8887F" w:rsidR="000417E4" w:rsidRDefault="00310E13" w:rsidP="00310E13">
      <w:pPr>
        <w:pStyle w:val="ListParagraph"/>
        <w:numPr>
          <w:ilvl w:val="0"/>
          <w:numId w:val="23"/>
        </w:numPr>
        <w:spacing w:after="240"/>
        <w:rPr>
          <w:rFonts w:asciiTheme="majorHAnsi" w:hAnsiTheme="majorHAnsi"/>
          <w:color w:val="000000" w:themeColor="text1"/>
          <w:sz w:val="22"/>
          <w:szCs w:val="22"/>
        </w:rPr>
      </w:pPr>
      <w:r w:rsidRPr="007A1FFF">
        <w:rPr>
          <w:rFonts w:asciiTheme="majorHAnsi" w:hAnsiTheme="majorHAnsi"/>
          <w:b/>
          <w:sz w:val="22"/>
          <w:szCs w:val="22"/>
        </w:rPr>
        <w:t>Key interactions</w:t>
      </w:r>
      <w:r>
        <w:rPr>
          <w:rFonts w:asciiTheme="majorHAnsi" w:hAnsiTheme="majorHAnsi"/>
          <w:sz w:val="22"/>
          <w:szCs w:val="22"/>
        </w:rPr>
        <w:t xml:space="preserve">: </w:t>
      </w:r>
      <w:r w:rsidRPr="007A1FFF">
        <w:rPr>
          <w:rFonts w:asciiTheme="majorHAnsi" w:hAnsiTheme="majorHAnsi"/>
          <w:sz w:val="22"/>
          <w:szCs w:val="22"/>
        </w:rPr>
        <w:t xml:space="preserve">ACE-inhibitor </w:t>
      </w:r>
      <w:r>
        <w:rPr>
          <w:rFonts w:asciiTheme="majorHAnsi" w:hAnsiTheme="majorHAnsi"/>
          <w:sz w:val="22"/>
          <w:szCs w:val="22"/>
        </w:rPr>
        <w:t xml:space="preserve">(ACEi) </w:t>
      </w:r>
      <w:r w:rsidRPr="007A1FFF">
        <w:rPr>
          <w:rFonts w:asciiTheme="majorHAnsi" w:hAnsiTheme="majorHAnsi"/>
          <w:sz w:val="22"/>
          <w:szCs w:val="22"/>
        </w:rPr>
        <w:t>and/or angiotensin-II receptor blocker</w:t>
      </w:r>
      <w:r>
        <w:rPr>
          <w:rFonts w:asciiTheme="majorHAnsi" w:hAnsiTheme="majorHAnsi"/>
          <w:sz w:val="22"/>
          <w:szCs w:val="22"/>
        </w:rPr>
        <w:t xml:space="preserve"> (ARBs)</w:t>
      </w:r>
      <w:r w:rsidRPr="007A1FFF">
        <w:rPr>
          <w:rFonts w:asciiTheme="majorHAnsi" w:hAnsiTheme="majorHAnsi"/>
          <w:sz w:val="22"/>
          <w:szCs w:val="22"/>
        </w:rPr>
        <w:t xml:space="preserve"> </w:t>
      </w:r>
      <w:r>
        <w:rPr>
          <w:rFonts w:asciiTheme="majorHAnsi" w:hAnsiTheme="majorHAnsi"/>
          <w:sz w:val="22"/>
          <w:szCs w:val="22"/>
        </w:rPr>
        <w:t xml:space="preserve">should not be used concurrently with sacubitril valsartan (Entresto®).   Patients require a minimum of 36 hour wash out from concomitant ACEi and </w:t>
      </w:r>
      <w:r w:rsidRPr="000417E4">
        <w:rPr>
          <w:rFonts w:asciiTheme="majorHAnsi" w:hAnsiTheme="majorHAnsi"/>
          <w:color w:val="000000" w:themeColor="text1"/>
          <w:sz w:val="22"/>
          <w:szCs w:val="22"/>
        </w:rPr>
        <w:t xml:space="preserve">sacubitril valsartan.  Review </w:t>
      </w:r>
      <w:proofErr w:type="gramStart"/>
      <w:r w:rsidRPr="000417E4">
        <w:rPr>
          <w:rFonts w:asciiTheme="majorHAnsi" w:hAnsiTheme="majorHAnsi"/>
          <w:color w:val="000000" w:themeColor="text1"/>
          <w:sz w:val="22"/>
          <w:szCs w:val="22"/>
        </w:rPr>
        <w:t>patients</w:t>
      </w:r>
      <w:proofErr w:type="gramEnd"/>
      <w:r w:rsidRPr="000417E4">
        <w:rPr>
          <w:rFonts w:asciiTheme="majorHAnsi" w:hAnsiTheme="majorHAnsi"/>
          <w:color w:val="000000" w:themeColor="text1"/>
          <w:sz w:val="22"/>
          <w:szCs w:val="22"/>
        </w:rPr>
        <w:t xml:space="preserve"> medication history and discontinue ACEi/ ARBs</w:t>
      </w:r>
      <w:r w:rsidR="000417E4">
        <w:rPr>
          <w:rFonts w:asciiTheme="majorHAnsi" w:hAnsiTheme="majorHAnsi"/>
          <w:color w:val="000000" w:themeColor="text1"/>
          <w:sz w:val="22"/>
          <w:szCs w:val="22"/>
        </w:rPr>
        <w:t>.</w:t>
      </w:r>
    </w:p>
    <w:p w14:paraId="307B2D71" w14:textId="77777777" w:rsidR="000417E4" w:rsidRPr="000417E4" w:rsidRDefault="000417E4" w:rsidP="000417E4">
      <w:pPr>
        <w:pStyle w:val="ListParagraph"/>
        <w:numPr>
          <w:ilvl w:val="0"/>
          <w:numId w:val="23"/>
        </w:numPr>
        <w:spacing w:after="240"/>
        <w:rPr>
          <w:rFonts w:asciiTheme="majorHAnsi" w:hAnsiTheme="majorHAnsi"/>
          <w:b/>
          <w:color w:val="000000" w:themeColor="text1"/>
          <w:sz w:val="22"/>
          <w:szCs w:val="22"/>
        </w:rPr>
      </w:pPr>
      <w:r>
        <w:rPr>
          <w:rFonts w:asciiTheme="majorHAnsi" w:hAnsiTheme="majorHAnsi"/>
          <w:color w:val="000000" w:themeColor="text1"/>
          <w:sz w:val="22"/>
          <w:szCs w:val="22"/>
        </w:rPr>
        <w:t xml:space="preserve">Patient </w:t>
      </w:r>
      <w:r w:rsidRPr="000417E4">
        <w:rPr>
          <w:rFonts w:asciiTheme="majorHAnsi" w:hAnsiTheme="majorHAnsi"/>
          <w:color w:val="000000" w:themeColor="text1"/>
          <w:sz w:val="22"/>
          <w:szCs w:val="22"/>
        </w:rPr>
        <w:t>information leaflet (Appendix 4) can be provided by the initiating clinician.</w:t>
      </w:r>
    </w:p>
    <w:p w14:paraId="796C5D6C" w14:textId="77777777" w:rsidR="00A04B05" w:rsidRPr="00A04B05" w:rsidRDefault="00A04B05" w:rsidP="00A04B05">
      <w:pPr>
        <w:widowControl w:val="0"/>
        <w:autoSpaceDE w:val="0"/>
        <w:autoSpaceDN w:val="0"/>
        <w:adjustRightInd w:val="0"/>
        <w:rPr>
          <w:rFonts w:ascii="Times" w:hAnsi="Times" w:cs="Times"/>
          <w:sz w:val="22"/>
          <w:szCs w:val="22"/>
        </w:rPr>
      </w:pPr>
      <w:r w:rsidRPr="00A04B05">
        <w:rPr>
          <w:rFonts w:ascii="Calibri" w:hAnsi="Calibri" w:cs="Calibri"/>
          <w:b/>
          <w:bCs/>
          <w:sz w:val="22"/>
          <w:szCs w:val="22"/>
        </w:rPr>
        <w:t>Aim</w:t>
      </w:r>
    </w:p>
    <w:p w14:paraId="4D48EFD2" w14:textId="4C68D35F" w:rsidR="00A04B05" w:rsidRPr="00310E13" w:rsidRDefault="00A04B05" w:rsidP="00A04B05">
      <w:pPr>
        <w:widowControl w:val="0"/>
        <w:autoSpaceDE w:val="0"/>
        <w:autoSpaceDN w:val="0"/>
        <w:adjustRightInd w:val="0"/>
        <w:rPr>
          <w:rFonts w:ascii="Times" w:hAnsi="Times" w:cs="Times"/>
          <w:sz w:val="22"/>
          <w:szCs w:val="22"/>
        </w:rPr>
      </w:pPr>
      <w:r w:rsidRPr="00310E13">
        <w:rPr>
          <w:rFonts w:ascii="Calibri" w:hAnsi="Calibri" w:cs="Calibri"/>
          <w:sz w:val="22"/>
          <w:szCs w:val="22"/>
        </w:rPr>
        <w:t>To support health service</w:t>
      </w:r>
      <w:r w:rsidR="002D6B13" w:rsidRPr="00310E13">
        <w:rPr>
          <w:rFonts w:ascii="Calibri" w:hAnsi="Calibri" w:cs="Calibri"/>
          <w:sz w:val="22"/>
          <w:szCs w:val="22"/>
        </w:rPr>
        <w:t xml:space="preserve"> in North East and North central London</w:t>
      </w:r>
      <w:r w:rsidRPr="00310E13">
        <w:rPr>
          <w:rFonts w:ascii="Calibri" w:hAnsi="Calibri" w:cs="Calibri"/>
          <w:sz w:val="22"/>
          <w:szCs w:val="22"/>
        </w:rPr>
        <w:t xml:space="preserve"> to</w:t>
      </w:r>
      <w:r w:rsidR="001D73BA" w:rsidRPr="00310E13">
        <w:rPr>
          <w:rFonts w:ascii="Calibri" w:hAnsi="Calibri" w:cs="Calibri"/>
          <w:sz w:val="22"/>
          <w:szCs w:val="22"/>
        </w:rPr>
        <w:t xml:space="preserve"> use </w:t>
      </w:r>
      <w:r w:rsidR="00310E13" w:rsidRPr="00310E13">
        <w:rPr>
          <w:rFonts w:ascii="Calibri" w:hAnsi="Calibri" w:cs="Calibri"/>
          <w:sz w:val="22"/>
          <w:szCs w:val="22"/>
        </w:rPr>
        <w:t>s</w:t>
      </w:r>
      <w:r w:rsidR="001D73BA" w:rsidRPr="00310E13">
        <w:rPr>
          <w:rFonts w:ascii="Calibri" w:hAnsi="Calibri" w:cs="Calibri"/>
          <w:sz w:val="22"/>
          <w:szCs w:val="22"/>
        </w:rPr>
        <w:t xml:space="preserve">acubitril valsartan (Entresto ®) </w:t>
      </w:r>
      <w:r w:rsidR="00382130" w:rsidRPr="00310E13">
        <w:rPr>
          <w:rFonts w:ascii="Calibri" w:hAnsi="Calibri" w:cs="Calibri"/>
          <w:sz w:val="22"/>
          <w:szCs w:val="22"/>
        </w:rPr>
        <w:t xml:space="preserve">in line with NICE </w:t>
      </w:r>
      <w:r w:rsidR="000417E4">
        <w:rPr>
          <w:rFonts w:ascii="Calibri" w:hAnsi="Calibri" w:cs="Calibri"/>
          <w:sz w:val="22"/>
          <w:szCs w:val="22"/>
        </w:rPr>
        <w:t xml:space="preserve">Technology Appraisal </w:t>
      </w:r>
      <w:r w:rsidR="00382130" w:rsidRPr="00310E13">
        <w:rPr>
          <w:rFonts w:ascii="Calibri" w:hAnsi="Calibri" w:cs="Calibri"/>
          <w:sz w:val="22"/>
          <w:szCs w:val="22"/>
        </w:rPr>
        <w:t>NICE TA 388</w:t>
      </w:r>
      <w:r w:rsidR="000417E4">
        <w:rPr>
          <w:rFonts w:ascii="Calibri" w:hAnsi="Calibri" w:cs="Calibri"/>
          <w:sz w:val="22"/>
          <w:szCs w:val="22"/>
        </w:rPr>
        <w:t xml:space="preserve"> </w:t>
      </w:r>
      <w:r w:rsidR="001D73BA" w:rsidRPr="00310E13">
        <w:rPr>
          <w:rFonts w:ascii="Calibri" w:hAnsi="Calibri" w:cs="Calibri"/>
          <w:sz w:val="22"/>
          <w:szCs w:val="22"/>
        </w:rPr>
        <w:t>by</w:t>
      </w:r>
      <w:r w:rsidRPr="00310E13">
        <w:rPr>
          <w:rFonts w:ascii="Calibri" w:hAnsi="Calibri" w:cs="Calibri"/>
          <w:sz w:val="22"/>
          <w:szCs w:val="22"/>
        </w:rPr>
        <w:t>:</w:t>
      </w:r>
    </w:p>
    <w:p w14:paraId="0225213C" w14:textId="25F3CDAE" w:rsidR="00382130" w:rsidRPr="00310E13" w:rsidRDefault="00382130" w:rsidP="00382130">
      <w:pPr>
        <w:pStyle w:val="ListParagraph"/>
        <w:widowControl w:val="0"/>
        <w:numPr>
          <w:ilvl w:val="0"/>
          <w:numId w:val="15"/>
        </w:numPr>
        <w:tabs>
          <w:tab w:val="left" w:pos="220"/>
          <w:tab w:val="left" w:pos="720"/>
        </w:tabs>
        <w:autoSpaceDE w:val="0"/>
        <w:autoSpaceDN w:val="0"/>
        <w:adjustRightInd w:val="0"/>
        <w:rPr>
          <w:rFonts w:ascii="Times" w:hAnsi="Times" w:cs="Times"/>
          <w:sz w:val="22"/>
          <w:szCs w:val="22"/>
        </w:rPr>
      </w:pPr>
      <w:r w:rsidRPr="00310E13">
        <w:rPr>
          <w:rFonts w:asciiTheme="majorHAnsi" w:hAnsiTheme="majorHAnsi" w:cs="Times"/>
          <w:sz w:val="22"/>
          <w:szCs w:val="22"/>
        </w:rPr>
        <w:t xml:space="preserve">Managing patients with chronic heart failure with reduced ejection fraction (HFrEF) in line with </w:t>
      </w:r>
      <w:r w:rsidRPr="009B47C8">
        <w:rPr>
          <w:rFonts w:asciiTheme="majorHAnsi" w:hAnsiTheme="majorHAnsi" w:cs="Times"/>
          <w:color w:val="1F497D" w:themeColor="text2"/>
          <w:sz w:val="22"/>
          <w:szCs w:val="22"/>
        </w:rPr>
        <w:t>NICE guidelines</w:t>
      </w:r>
      <w:r w:rsidR="00222E65" w:rsidRPr="009B47C8">
        <w:rPr>
          <w:rFonts w:asciiTheme="majorHAnsi" w:hAnsiTheme="majorHAnsi" w:cs="Times"/>
          <w:color w:val="1F497D" w:themeColor="text2"/>
          <w:sz w:val="22"/>
          <w:szCs w:val="22"/>
        </w:rPr>
        <w:t xml:space="preserve"> (NG 106)</w:t>
      </w:r>
      <w:r w:rsidRPr="009B47C8">
        <w:rPr>
          <w:rFonts w:asciiTheme="majorHAnsi" w:hAnsiTheme="majorHAnsi" w:cs="Times"/>
          <w:color w:val="1F497D" w:themeColor="text2"/>
          <w:sz w:val="22"/>
          <w:szCs w:val="22"/>
        </w:rPr>
        <w:t xml:space="preserve"> </w:t>
      </w:r>
      <w:r w:rsidR="006D45F4" w:rsidRPr="009B47C8">
        <w:rPr>
          <w:rFonts w:asciiTheme="majorHAnsi" w:hAnsiTheme="majorHAnsi" w:cs="Times"/>
          <w:color w:val="1F497D" w:themeColor="text2"/>
          <w:sz w:val="22"/>
          <w:szCs w:val="22"/>
        </w:rPr>
        <w:t xml:space="preserve">(new 2019) </w:t>
      </w:r>
      <w:r w:rsidRPr="00310E13">
        <w:rPr>
          <w:rFonts w:asciiTheme="majorHAnsi" w:hAnsiTheme="majorHAnsi" w:cs="Times"/>
          <w:sz w:val="22"/>
          <w:szCs w:val="22"/>
        </w:rPr>
        <w:t xml:space="preserve">Chronic heart failure in adults: diagnosis and management </w:t>
      </w:r>
      <w:r w:rsidR="00222E65" w:rsidRPr="00310E13">
        <w:rPr>
          <w:rFonts w:asciiTheme="majorHAnsi" w:hAnsiTheme="majorHAnsi" w:cs="Times"/>
          <w:sz w:val="22"/>
          <w:szCs w:val="22"/>
        </w:rPr>
        <w:t>(</w:t>
      </w:r>
      <w:r w:rsidRPr="00310E13">
        <w:rPr>
          <w:rFonts w:asciiTheme="majorHAnsi" w:hAnsiTheme="majorHAnsi" w:cs="Times"/>
          <w:sz w:val="22"/>
          <w:szCs w:val="22"/>
        </w:rPr>
        <w:t>September 2018</w:t>
      </w:r>
      <w:r w:rsidR="00222E65" w:rsidRPr="00310E13">
        <w:rPr>
          <w:rFonts w:asciiTheme="majorHAnsi" w:hAnsiTheme="majorHAnsi" w:cs="Times"/>
          <w:sz w:val="22"/>
          <w:szCs w:val="22"/>
        </w:rPr>
        <w:t>)</w:t>
      </w:r>
    </w:p>
    <w:p w14:paraId="6578BB62" w14:textId="5FD46165" w:rsidR="00A04B05" w:rsidRPr="00310E13" w:rsidRDefault="00382130" w:rsidP="00945314">
      <w:pPr>
        <w:pStyle w:val="ListParagraph"/>
        <w:widowControl w:val="0"/>
        <w:numPr>
          <w:ilvl w:val="0"/>
          <w:numId w:val="15"/>
        </w:numPr>
        <w:tabs>
          <w:tab w:val="left" w:pos="220"/>
          <w:tab w:val="left" w:pos="720"/>
        </w:tabs>
        <w:autoSpaceDE w:val="0"/>
        <w:autoSpaceDN w:val="0"/>
        <w:adjustRightInd w:val="0"/>
        <w:rPr>
          <w:rFonts w:ascii="Times" w:hAnsi="Times" w:cs="Times"/>
          <w:sz w:val="22"/>
          <w:szCs w:val="22"/>
        </w:rPr>
      </w:pPr>
      <w:r w:rsidRPr="00310E13">
        <w:rPr>
          <w:rFonts w:ascii="Calibri" w:hAnsi="Calibri" w:cs="Calibri"/>
          <w:sz w:val="22"/>
          <w:szCs w:val="22"/>
        </w:rPr>
        <w:t>Initiating</w:t>
      </w:r>
      <w:r w:rsidR="00945314" w:rsidRPr="00310E13">
        <w:rPr>
          <w:rFonts w:ascii="Calibri" w:hAnsi="Calibri" w:cs="Calibri"/>
          <w:sz w:val="22"/>
          <w:szCs w:val="22"/>
        </w:rPr>
        <w:t xml:space="preserve"> sacubitril valsartan</w:t>
      </w:r>
      <w:r w:rsidR="00A04B05" w:rsidRPr="00310E13">
        <w:rPr>
          <w:rFonts w:ascii="Calibri" w:hAnsi="Calibri" w:cs="Calibri"/>
          <w:sz w:val="22"/>
          <w:szCs w:val="22"/>
        </w:rPr>
        <w:t>, in a safe and controlled manner where indicated for treatment of chronic heart failure with reduced ejection fraction HFrEF</w:t>
      </w:r>
      <w:r w:rsidR="000417E4">
        <w:rPr>
          <w:rFonts w:ascii="Calibri" w:hAnsi="Calibri" w:cs="Calibri"/>
          <w:sz w:val="22"/>
          <w:szCs w:val="22"/>
        </w:rPr>
        <w:t xml:space="preserve">. </w:t>
      </w:r>
    </w:p>
    <w:p w14:paraId="63B98E78" w14:textId="60A19812" w:rsidR="00A04B05" w:rsidRPr="00310E13" w:rsidRDefault="001D73BA" w:rsidP="00945314">
      <w:pPr>
        <w:pStyle w:val="ListParagraph"/>
        <w:widowControl w:val="0"/>
        <w:numPr>
          <w:ilvl w:val="0"/>
          <w:numId w:val="15"/>
        </w:numPr>
        <w:tabs>
          <w:tab w:val="left" w:pos="220"/>
          <w:tab w:val="left" w:pos="720"/>
        </w:tabs>
        <w:autoSpaceDE w:val="0"/>
        <w:autoSpaceDN w:val="0"/>
        <w:adjustRightInd w:val="0"/>
        <w:rPr>
          <w:rFonts w:ascii="Times" w:hAnsi="Times" w:cs="Times"/>
          <w:sz w:val="22"/>
          <w:szCs w:val="22"/>
        </w:rPr>
      </w:pPr>
      <w:r w:rsidRPr="00310E13">
        <w:rPr>
          <w:rFonts w:ascii="Calibri" w:hAnsi="Calibri" w:cs="Calibri"/>
          <w:sz w:val="22"/>
          <w:szCs w:val="22"/>
        </w:rPr>
        <w:t>Transferring patients who are established</w:t>
      </w:r>
      <w:r w:rsidR="00A04B05" w:rsidRPr="00310E13">
        <w:rPr>
          <w:rFonts w:ascii="Calibri" w:hAnsi="Calibri" w:cs="Calibri"/>
          <w:sz w:val="22"/>
          <w:szCs w:val="22"/>
        </w:rPr>
        <w:t xml:space="preserve"> on therapy with sacub</w:t>
      </w:r>
      <w:r w:rsidR="000F3724" w:rsidRPr="00310E13">
        <w:rPr>
          <w:rFonts w:ascii="Calibri" w:hAnsi="Calibri" w:cs="Calibri"/>
          <w:sz w:val="22"/>
          <w:szCs w:val="22"/>
        </w:rPr>
        <w:t xml:space="preserve">itril valsartan </w:t>
      </w:r>
      <w:r w:rsidR="00382130" w:rsidRPr="00310E13">
        <w:rPr>
          <w:rFonts w:ascii="Calibri" w:hAnsi="Calibri" w:cs="Calibri"/>
          <w:sz w:val="22"/>
          <w:szCs w:val="22"/>
        </w:rPr>
        <w:t>into primary care with appropriate guidance and support in terms of management and monitoring of the drug and disease</w:t>
      </w:r>
      <w:r w:rsidR="00A04B05" w:rsidRPr="00310E13">
        <w:rPr>
          <w:rFonts w:ascii="Calibri" w:hAnsi="Calibri" w:cs="Calibri"/>
          <w:sz w:val="22"/>
          <w:szCs w:val="22"/>
        </w:rPr>
        <w:t xml:space="preserve">. </w:t>
      </w:r>
    </w:p>
    <w:p w14:paraId="609B89B4" w14:textId="566D2332" w:rsidR="00A04B05" w:rsidRPr="00310E13" w:rsidRDefault="00A04B05" w:rsidP="00945314">
      <w:pPr>
        <w:pStyle w:val="ListParagraph"/>
        <w:widowControl w:val="0"/>
        <w:numPr>
          <w:ilvl w:val="0"/>
          <w:numId w:val="15"/>
        </w:numPr>
        <w:tabs>
          <w:tab w:val="left" w:pos="220"/>
          <w:tab w:val="left" w:pos="720"/>
        </w:tabs>
        <w:autoSpaceDE w:val="0"/>
        <w:autoSpaceDN w:val="0"/>
        <w:adjustRightInd w:val="0"/>
        <w:rPr>
          <w:rFonts w:ascii="Times" w:hAnsi="Times" w:cs="Times"/>
          <w:sz w:val="22"/>
          <w:szCs w:val="22"/>
        </w:rPr>
      </w:pPr>
      <w:r w:rsidRPr="00310E13">
        <w:rPr>
          <w:rFonts w:ascii="Calibri" w:hAnsi="Calibri" w:cs="Calibri"/>
          <w:sz w:val="22"/>
          <w:szCs w:val="22"/>
        </w:rPr>
        <w:t>Establish</w:t>
      </w:r>
      <w:r w:rsidR="00382130" w:rsidRPr="00310E13">
        <w:rPr>
          <w:rFonts w:ascii="Calibri" w:hAnsi="Calibri" w:cs="Calibri"/>
          <w:sz w:val="22"/>
          <w:szCs w:val="22"/>
        </w:rPr>
        <w:t>ing and implementing</w:t>
      </w:r>
      <w:r w:rsidRPr="00310E13">
        <w:rPr>
          <w:rFonts w:ascii="Calibri" w:hAnsi="Calibri" w:cs="Calibri"/>
          <w:sz w:val="22"/>
          <w:szCs w:val="22"/>
        </w:rPr>
        <w:t xml:space="preserve"> treatment pathways for initiation, maintenance and monitoring of sacubitril valsartan for chronic HFrEF. </w:t>
      </w:r>
    </w:p>
    <w:p w14:paraId="49FE9EC0" w14:textId="77777777" w:rsidR="00945314" w:rsidRPr="006D45F4" w:rsidRDefault="00945314" w:rsidP="00945314">
      <w:pPr>
        <w:widowControl w:val="0"/>
        <w:tabs>
          <w:tab w:val="left" w:pos="220"/>
          <w:tab w:val="left" w:pos="720"/>
        </w:tabs>
        <w:autoSpaceDE w:val="0"/>
        <w:autoSpaceDN w:val="0"/>
        <w:adjustRightInd w:val="0"/>
        <w:rPr>
          <w:rFonts w:ascii="Times" w:hAnsi="Times" w:cs="Times"/>
          <w:sz w:val="16"/>
          <w:szCs w:val="16"/>
        </w:rPr>
      </w:pPr>
    </w:p>
    <w:p w14:paraId="481CF5DB" w14:textId="77777777" w:rsidR="00A04B05" w:rsidRPr="00945314" w:rsidRDefault="00A04B05" w:rsidP="00945314">
      <w:pPr>
        <w:widowControl w:val="0"/>
        <w:tabs>
          <w:tab w:val="left" w:pos="220"/>
          <w:tab w:val="left" w:pos="720"/>
        </w:tabs>
        <w:autoSpaceDE w:val="0"/>
        <w:autoSpaceDN w:val="0"/>
        <w:adjustRightInd w:val="0"/>
        <w:rPr>
          <w:rFonts w:ascii="Times" w:hAnsi="Times" w:cs="Times"/>
          <w:sz w:val="22"/>
          <w:szCs w:val="22"/>
        </w:rPr>
      </w:pPr>
      <w:r w:rsidRPr="00945314">
        <w:rPr>
          <w:rFonts w:ascii="Calibri" w:hAnsi="Calibri" w:cs="Calibri"/>
          <w:b/>
          <w:bCs/>
          <w:sz w:val="22"/>
          <w:szCs w:val="22"/>
        </w:rPr>
        <w:t xml:space="preserve">Current pharmacological therapy in treatment of symptomatic chronic heart failure </w:t>
      </w:r>
    </w:p>
    <w:p w14:paraId="1A109EB0" w14:textId="77777777" w:rsidR="00945314" w:rsidRDefault="00A04B05" w:rsidP="00945314">
      <w:pPr>
        <w:widowControl w:val="0"/>
        <w:tabs>
          <w:tab w:val="left" w:pos="220"/>
          <w:tab w:val="left" w:pos="720"/>
        </w:tabs>
        <w:autoSpaceDE w:val="0"/>
        <w:autoSpaceDN w:val="0"/>
        <w:adjustRightInd w:val="0"/>
        <w:rPr>
          <w:rFonts w:ascii="Times" w:hAnsi="Times" w:cs="Times"/>
          <w:sz w:val="22"/>
          <w:szCs w:val="22"/>
        </w:rPr>
      </w:pPr>
      <w:r w:rsidRPr="00A04B05">
        <w:rPr>
          <w:rFonts w:ascii="Calibri" w:hAnsi="Calibri" w:cs="Calibri"/>
          <w:sz w:val="22"/>
          <w:szCs w:val="22"/>
        </w:rPr>
        <w:t>Pharmacological treatment in patients with HFrEF include as a first line</w:t>
      </w:r>
      <w:r w:rsidR="000F3724">
        <w:rPr>
          <w:rFonts w:ascii="Calibri" w:hAnsi="Calibri" w:cs="Calibri"/>
          <w:sz w:val="22"/>
          <w:szCs w:val="22"/>
        </w:rPr>
        <w:t>:</w:t>
      </w:r>
      <w:r w:rsidRPr="00A04B05">
        <w:rPr>
          <w:rFonts w:ascii="Calibri" w:hAnsi="Calibri" w:cs="Calibri"/>
          <w:sz w:val="22"/>
          <w:szCs w:val="22"/>
        </w:rPr>
        <w:t xml:space="preserve"> </w:t>
      </w:r>
    </w:p>
    <w:p w14:paraId="0AA48E66" w14:textId="43BE4788" w:rsidR="00945314" w:rsidRPr="00945314" w:rsidRDefault="00A04B05" w:rsidP="00945314">
      <w:pPr>
        <w:pStyle w:val="ListParagraph"/>
        <w:widowControl w:val="0"/>
        <w:numPr>
          <w:ilvl w:val="0"/>
          <w:numId w:val="16"/>
        </w:numPr>
        <w:tabs>
          <w:tab w:val="left" w:pos="220"/>
          <w:tab w:val="left" w:pos="720"/>
        </w:tabs>
        <w:autoSpaceDE w:val="0"/>
        <w:autoSpaceDN w:val="0"/>
        <w:adjustRightInd w:val="0"/>
        <w:rPr>
          <w:rFonts w:ascii="Times" w:hAnsi="Times" w:cs="Times"/>
          <w:sz w:val="22"/>
          <w:szCs w:val="22"/>
        </w:rPr>
      </w:pPr>
      <w:r w:rsidRPr="00945314">
        <w:rPr>
          <w:rFonts w:ascii="Calibri" w:hAnsi="Calibri" w:cs="Calibri"/>
          <w:sz w:val="22"/>
          <w:szCs w:val="22"/>
        </w:rPr>
        <w:t xml:space="preserve">Selective beta-adrenergic receptor antagonists (BB) and an angiotensin converting enzyme inhibitors (ACEi) or angiotensin II receptor blocker (ARB) where ACEi are not tolerated. These are titrated to maximum tolerated evidence based doses (see Appendix 1). </w:t>
      </w:r>
    </w:p>
    <w:p w14:paraId="65F784F7" w14:textId="77777777" w:rsidR="00A04B05" w:rsidRPr="00945314" w:rsidRDefault="00A04B05" w:rsidP="00945314">
      <w:pPr>
        <w:pStyle w:val="ListParagraph"/>
        <w:widowControl w:val="0"/>
        <w:numPr>
          <w:ilvl w:val="0"/>
          <w:numId w:val="16"/>
        </w:numPr>
        <w:tabs>
          <w:tab w:val="left" w:pos="220"/>
          <w:tab w:val="left" w:pos="720"/>
        </w:tabs>
        <w:autoSpaceDE w:val="0"/>
        <w:autoSpaceDN w:val="0"/>
        <w:adjustRightInd w:val="0"/>
        <w:rPr>
          <w:rFonts w:ascii="Times" w:hAnsi="Times" w:cs="Times"/>
          <w:sz w:val="22"/>
          <w:szCs w:val="22"/>
        </w:rPr>
      </w:pPr>
      <w:r w:rsidRPr="00945314">
        <w:rPr>
          <w:rFonts w:ascii="Calibri" w:hAnsi="Calibri" w:cs="Calibri"/>
          <w:sz w:val="22"/>
          <w:szCs w:val="22"/>
        </w:rPr>
        <w:lastRenderedPageBreak/>
        <w:t>If patients remain symptomatic and left ventricular ejection fraction (LVEF) &lt;35%, a</w:t>
      </w:r>
      <w:r w:rsidR="00D45009" w:rsidRPr="00945314">
        <w:rPr>
          <w:rFonts w:ascii="Times" w:hAnsi="Times" w:cs="Times"/>
          <w:sz w:val="22"/>
          <w:szCs w:val="22"/>
        </w:rPr>
        <w:t xml:space="preserve"> </w:t>
      </w:r>
      <w:r w:rsidRPr="00945314">
        <w:rPr>
          <w:rFonts w:ascii="Calibri" w:hAnsi="Calibri" w:cs="Calibri"/>
          <w:sz w:val="22"/>
          <w:szCs w:val="22"/>
        </w:rPr>
        <w:t xml:space="preserve">mineralocorticoid receptor antagonist (MRA) should be added and titrated up to maximum tolerated </w:t>
      </w:r>
      <w:r w:rsidRPr="000417E4">
        <w:rPr>
          <w:rFonts w:ascii="Calibri" w:hAnsi="Calibri" w:cs="Calibri"/>
          <w:color w:val="000000" w:themeColor="text1"/>
          <w:sz w:val="22"/>
          <w:szCs w:val="22"/>
        </w:rPr>
        <w:t xml:space="preserve">licensed </w:t>
      </w:r>
      <w:r w:rsidRPr="00945314">
        <w:rPr>
          <w:rFonts w:ascii="Calibri" w:hAnsi="Calibri" w:cs="Calibri"/>
          <w:sz w:val="22"/>
          <w:szCs w:val="22"/>
        </w:rPr>
        <w:t xml:space="preserve">dose (see Appendix 1). </w:t>
      </w:r>
    </w:p>
    <w:p w14:paraId="63B4F47C" w14:textId="77777777" w:rsidR="00A04B05" w:rsidRPr="00945314" w:rsidRDefault="00945314" w:rsidP="00945314">
      <w:pPr>
        <w:pStyle w:val="ListParagraph"/>
        <w:widowControl w:val="0"/>
        <w:numPr>
          <w:ilvl w:val="0"/>
          <w:numId w:val="16"/>
        </w:numPr>
        <w:tabs>
          <w:tab w:val="left" w:pos="993"/>
          <w:tab w:val="left" w:pos="1418"/>
        </w:tabs>
        <w:autoSpaceDE w:val="0"/>
        <w:autoSpaceDN w:val="0"/>
        <w:adjustRightInd w:val="0"/>
        <w:rPr>
          <w:rFonts w:ascii="Times" w:hAnsi="Times" w:cs="Times"/>
          <w:sz w:val="22"/>
          <w:szCs w:val="22"/>
        </w:rPr>
      </w:pPr>
      <w:r w:rsidRPr="00945314">
        <w:rPr>
          <w:rFonts w:ascii="Calibri" w:hAnsi="Calibri" w:cs="Calibri"/>
          <w:sz w:val="22"/>
          <w:szCs w:val="22"/>
        </w:rPr>
        <w:t>A</w:t>
      </w:r>
      <w:r w:rsidR="00A04B05" w:rsidRPr="00945314">
        <w:rPr>
          <w:rFonts w:ascii="Calibri" w:hAnsi="Calibri" w:cs="Calibri"/>
          <w:sz w:val="22"/>
          <w:szCs w:val="22"/>
        </w:rPr>
        <w:t xml:space="preserve">dditional agents in those remaining symptomatic are limited. Options include addition of hydralazine and nitrates, digoxin, ivabradine depending on specific patient characteristics. </w:t>
      </w:r>
    </w:p>
    <w:p w14:paraId="30142372" w14:textId="77777777" w:rsidR="00945314" w:rsidRPr="006D45F4" w:rsidRDefault="00945314" w:rsidP="00945314">
      <w:pPr>
        <w:widowControl w:val="0"/>
        <w:numPr>
          <w:ilvl w:val="0"/>
          <w:numId w:val="2"/>
        </w:numPr>
        <w:tabs>
          <w:tab w:val="left" w:pos="220"/>
          <w:tab w:val="left" w:pos="720"/>
        </w:tabs>
        <w:autoSpaceDE w:val="0"/>
        <w:autoSpaceDN w:val="0"/>
        <w:adjustRightInd w:val="0"/>
        <w:ind w:hanging="720"/>
        <w:rPr>
          <w:rFonts w:ascii="Times" w:hAnsi="Times" w:cs="Times"/>
          <w:sz w:val="16"/>
          <w:szCs w:val="16"/>
        </w:rPr>
      </w:pPr>
    </w:p>
    <w:p w14:paraId="0FA0A38F" w14:textId="77777777" w:rsidR="00A04B05" w:rsidRPr="00945314" w:rsidRDefault="00A04B05" w:rsidP="00945314">
      <w:pPr>
        <w:widowControl w:val="0"/>
        <w:tabs>
          <w:tab w:val="left" w:pos="220"/>
          <w:tab w:val="left" w:pos="720"/>
        </w:tabs>
        <w:autoSpaceDE w:val="0"/>
        <w:autoSpaceDN w:val="0"/>
        <w:adjustRightInd w:val="0"/>
        <w:rPr>
          <w:rFonts w:ascii="Times" w:hAnsi="Times" w:cs="Times"/>
          <w:sz w:val="22"/>
          <w:szCs w:val="22"/>
        </w:rPr>
      </w:pPr>
      <w:r w:rsidRPr="00945314">
        <w:rPr>
          <w:rFonts w:ascii="Calibri" w:hAnsi="Calibri" w:cs="Calibri"/>
          <w:b/>
          <w:bCs/>
          <w:sz w:val="22"/>
          <w:szCs w:val="22"/>
        </w:rPr>
        <w:t>Other interventions in the treatment of chronic symptomatic heart failure</w:t>
      </w:r>
      <w:r w:rsidRPr="00945314">
        <w:rPr>
          <w:rFonts w:ascii="Calibri" w:hAnsi="Calibri" w:cs="Calibri"/>
          <w:sz w:val="22"/>
          <w:szCs w:val="22"/>
        </w:rPr>
        <w:t xml:space="preserve">: </w:t>
      </w:r>
    </w:p>
    <w:p w14:paraId="20AF61F1" w14:textId="77777777" w:rsidR="00A04B05" w:rsidRPr="00945314" w:rsidRDefault="00945314" w:rsidP="00945314">
      <w:pPr>
        <w:pStyle w:val="ListParagraph"/>
        <w:widowControl w:val="0"/>
        <w:numPr>
          <w:ilvl w:val="0"/>
          <w:numId w:val="17"/>
        </w:numPr>
        <w:tabs>
          <w:tab w:val="left" w:pos="220"/>
          <w:tab w:val="left" w:pos="720"/>
        </w:tabs>
        <w:autoSpaceDE w:val="0"/>
        <w:autoSpaceDN w:val="0"/>
        <w:adjustRightInd w:val="0"/>
        <w:rPr>
          <w:rFonts w:ascii="Times" w:hAnsi="Times" w:cs="Times"/>
          <w:sz w:val="22"/>
          <w:szCs w:val="22"/>
        </w:rPr>
      </w:pPr>
      <w:r w:rsidRPr="00945314">
        <w:rPr>
          <w:rFonts w:ascii="Calibri" w:hAnsi="Calibri" w:cs="Calibri"/>
          <w:sz w:val="22"/>
          <w:szCs w:val="22"/>
        </w:rPr>
        <w:t>U</w:t>
      </w:r>
      <w:r w:rsidR="00A04B05" w:rsidRPr="00945314">
        <w:rPr>
          <w:rFonts w:ascii="Calibri" w:hAnsi="Calibri" w:cs="Calibri"/>
          <w:sz w:val="22"/>
          <w:szCs w:val="22"/>
        </w:rPr>
        <w:t xml:space="preserve">se of implantable cardioverter defibrillators (ICD) and cardiac resynchronisation therapy (CRT) should be guided as per NICE technology appraisal TA 314 in those with heart failure with a LVEF &lt;35% and additional criteria as summarised in Appendix 2. </w:t>
      </w:r>
    </w:p>
    <w:p w14:paraId="034D2ED9" w14:textId="77777777" w:rsidR="00A04B05" w:rsidRPr="00945314" w:rsidRDefault="00A04B05" w:rsidP="00945314">
      <w:pPr>
        <w:pStyle w:val="ListParagraph"/>
        <w:widowControl w:val="0"/>
        <w:numPr>
          <w:ilvl w:val="0"/>
          <w:numId w:val="17"/>
        </w:numPr>
        <w:tabs>
          <w:tab w:val="left" w:pos="220"/>
          <w:tab w:val="left" w:pos="720"/>
        </w:tabs>
        <w:autoSpaceDE w:val="0"/>
        <w:autoSpaceDN w:val="0"/>
        <w:adjustRightInd w:val="0"/>
        <w:rPr>
          <w:rFonts w:ascii="Times" w:hAnsi="Times" w:cs="Times"/>
          <w:sz w:val="22"/>
          <w:szCs w:val="22"/>
        </w:rPr>
      </w:pPr>
      <w:r w:rsidRPr="00945314">
        <w:rPr>
          <w:rFonts w:ascii="Calibri" w:hAnsi="Calibri" w:cs="Calibri"/>
          <w:sz w:val="22"/>
          <w:szCs w:val="22"/>
        </w:rPr>
        <w:t>Valve disease, revascularisation and correction of atrial fibrillation or other tachyarrhythmias or withdrawal of cardiotoxic drugs are decisions to be undertaken by the supervising heart failure team prior to being considered for sacubitril valsartan</w:t>
      </w:r>
      <w:r w:rsidR="00D45009" w:rsidRPr="00945314">
        <w:rPr>
          <w:rFonts w:ascii="Calibri" w:hAnsi="Calibri" w:cs="Calibri"/>
          <w:sz w:val="22"/>
          <w:szCs w:val="22"/>
        </w:rPr>
        <w:t>.</w:t>
      </w:r>
      <w:r w:rsidRPr="00945314">
        <w:rPr>
          <w:rFonts w:ascii="Calibri" w:hAnsi="Calibri" w:cs="Calibri"/>
          <w:sz w:val="22"/>
          <w:szCs w:val="22"/>
        </w:rPr>
        <w:t xml:space="preserve"> </w:t>
      </w:r>
    </w:p>
    <w:p w14:paraId="430AFB92" w14:textId="77777777" w:rsidR="00A04B05" w:rsidRPr="006D45F4" w:rsidRDefault="00A04B05" w:rsidP="00A04B05">
      <w:pPr>
        <w:widowControl w:val="0"/>
        <w:numPr>
          <w:ilvl w:val="0"/>
          <w:numId w:val="3"/>
        </w:numPr>
        <w:tabs>
          <w:tab w:val="left" w:pos="220"/>
          <w:tab w:val="left" w:pos="720"/>
        </w:tabs>
        <w:autoSpaceDE w:val="0"/>
        <w:autoSpaceDN w:val="0"/>
        <w:adjustRightInd w:val="0"/>
        <w:ind w:hanging="720"/>
        <w:rPr>
          <w:rFonts w:ascii="Times" w:hAnsi="Times" w:cs="Times"/>
          <w:sz w:val="16"/>
          <w:szCs w:val="16"/>
        </w:rPr>
      </w:pPr>
    </w:p>
    <w:p w14:paraId="1761E77C" w14:textId="00705182" w:rsidR="00A04B05" w:rsidRPr="00A04B05" w:rsidRDefault="00A04B05" w:rsidP="00945314">
      <w:pPr>
        <w:widowControl w:val="0"/>
        <w:tabs>
          <w:tab w:val="left" w:pos="220"/>
          <w:tab w:val="left" w:pos="720"/>
        </w:tabs>
        <w:autoSpaceDE w:val="0"/>
        <w:autoSpaceDN w:val="0"/>
        <w:adjustRightInd w:val="0"/>
        <w:rPr>
          <w:rFonts w:ascii="Times" w:hAnsi="Times" w:cs="Times"/>
          <w:sz w:val="22"/>
          <w:szCs w:val="22"/>
        </w:rPr>
      </w:pPr>
      <w:r w:rsidRPr="00A04B05">
        <w:rPr>
          <w:rFonts w:ascii="Calibri" w:hAnsi="Calibri" w:cs="Calibri"/>
          <w:b/>
          <w:bCs/>
          <w:sz w:val="22"/>
          <w:szCs w:val="22"/>
        </w:rPr>
        <w:t>Sacubitril valsartan</w:t>
      </w:r>
      <w:r w:rsidR="000417E4">
        <w:rPr>
          <w:rFonts w:ascii="Calibri" w:hAnsi="Calibri" w:cs="Calibri"/>
          <w:b/>
          <w:bCs/>
          <w:sz w:val="22"/>
          <w:szCs w:val="22"/>
        </w:rPr>
        <w:t xml:space="preserve"> (Entresto</w:t>
      </w:r>
      <w:r w:rsidR="00382130">
        <w:rPr>
          <w:rFonts w:ascii="Calibri" w:hAnsi="Calibri" w:cs="Calibri"/>
          <w:b/>
          <w:bCs/>
          <w:sz w:val="22"/>
          <w:szCs w:val="22"/>
        </w:rPr>
        <w:t xml:space="preserve">®) is an </w:t>
      </w:r>
      <w:r w:rsidRPr="00A04B05">
        <w:rPr>
          <w:rFonts w:ascii="Calibri" w:hAnsi="Calibri" w:cs="Calibri"/>
          <w:b/>
          <w:bCs/>
          <w:sz w:val="22"/>
          <w:szCs w:val="22"/>
        </w:rPr>
        <w:t>option</w:t>
      </w:r>
      <w:r w:rsidR="00382130">
        <w:rPr>
          <w:rFonts w:ascii="Calibri" w:hAnsi="Calibri" w:cs="Calibri"/>
          <w:b/>
          <w:bCs/>
          <w:sz w:val="22"/>
          <w:szCs w:val="22"/>
        </w:rPr>
        <w:t xml:space="preserve"> </w:t>
      </w:r>
      <w:r w:rsidR="00382130" w:rsidRPr="000417E4">
        <w:rPr>
          <w:rFonts w:ascii="Calibri" w:hAnsi="Calibri" w:cs="Calibri"/>
          <w:b/>
          <w:bCs/>
          <w:color w:val="000000" w:themeColor="text1"/>
          <w:sz w:val="22"/>
          <w:szCs w:val="22"/>
        </w:rPr>
        <w:t>for patients who</w:t>
      </w:r>
      <w:r w:rsidRPr="000417E4">
        <w:rPr>
          <w:rFonts w:ascii="Calibri" w:hAnsi="Calibri" w:cs="Calibri"/>
          <w:b/>
          <w:bCs/>
          <w:color w:val="000000" w:themeColor="text1"/>
          <w:sz w:val="22"/>
          <w:szCs w:val="22"/>
        </w:rPr>
        <w:t xml:space="preserve">: </w:t>
      </w:r>
    </w:p>
    <w:p w14:paraId="21FA498E" w14:textId="5BF1831E" w:rsidR="00A04B05" w:rsidRPr="000417E4" w:rsidRDefault="00382130">
      <w:pPr>
        <w:pStyle w:val="ListParagraph"/>
        <w:widowControl w:val="0"/>
        <w:numPr>
          <w:ilvl w:val="0"/>
          <w:numId w:val="18"/>
        </w:numPr>
        <w:tabs>
          <w:tab w:val="left" w:pos="220"/>
          <w:tab w:val="left" w:pos="720"/>
        </w:tabs>
        <w:autoSpaceDE w:val="0"/>
        <w:autoSpaceDN w:val="0"/>
        <w:adjustRightInd w:val="0"/>
        <w:rPr>
          <w:rFonts w:ascii="Times" w:hAnsi="Times" w:cs="Times"/>
          <w:color w:val="000000" w:themeColor="text1"/>
          <w:sz w:val="22"/>
          <w:szCs w:val="22"/>
        </w:rPr>
      </w:pPr>
      <w:r w:rsidRPr="000417E4">
        <w:rPr>
          <w:rFonts w:ascii="Calibri" w:hAnsi="Calibri" w:cs="Calibri"/>
          <w:color w:val="000000" w:themeColor="text1"/>
          <w:sz w:val="22"/>
          <w:szCs w:val="22"/>
        </w:rPr>
        <w:t>Meet criteria as defined in</w:t>
      </w:r>
      <w:r w:rsidR="00A04B05" w:rsidRPr="000417E4">
        <w:rPr>
          <w:rFonts w:ascii="Calibri" w:hAnsi="Calibri" w:cs="Calibri"/>
          <w:color w:val="000000" w:themeColor="text1"/>
          <w:sz w:val="22"/>
          <w:szCs w:val="22"/>
        </w:rPr>
        <w:t xml:space="preserve"> NICE TA 388</w:t>
      </w:r>
      <w:r w:rsidR="000F3724" w:rsidRPr="000417E4">
        <w:rPr>
          <w:rFonts w:ascii="Calibri" w:hAnsi="Calibri" w:cs="Calibri"/>
          <w:color w:val="000000" w:themeColor="text1"/>
          <w:sz w:val="22"/>
          <w:szCs w:val="22"/>
        </w:rPr>
        <w:t xml:space="preserve"> and </w:t>
      </w:r>
      <w:r w:rsidR="00222E65" w:rsidRPr="000417E4">
        <w:rPr>
          <w:rFonts w:ascii="Calibri" w:hAnsi="Calibri" w:cs="Calibri"/>
          <w:color w:val="000000" w:themeColor="text1"/>
          <w:sz w:val="22"/>
          <w:szCs w:val="22"/>
        </w:rPr>
        <w:t>NG106</w:t>
      </w:r>
      <w:r w:rsidR="000417E4" w:rsidRPr="000417E4">
        <w:rPr>
          <w:rFonts w:ascii="Calibri" w:hAnsi="Calibri" w:cs="Calibri"/>
          <w:color w:val="000000" w:themeColor="text1"/>
          <w:sz w:val="22"/>
          <w:szCs w:val="22"/>
        </w:rPr>
        <w:t xml:space="preserve"> </w:t>
      </w:r>
      <w:r w:rsidRPr="000417E4">
        <w:rPr>
          <w:rFonts w:ascii="Calibri" w:hAnsi="Calibri" w:cs="Calibri"/>
          <w:color w:val="000000" w:themeColor="text1"/>
          <w:sz w:val="22"/>
          <w:szCs w:val="22"/>
        </w:rPr>
        <w:t>where s</w:t>
      </w:r>
      <w:r w:rsidR="00A04B05" w:rsidRPr="000417E4">
        <w:rPr>
          <w:rFonts w:ascii="Calibri" w:hAnsi="Calibri" w:cs="Calibri"/>
          <w:color w:val="000000" w:themeColor="text1"/>
          <w:sz w:val="22"/>
          <w:szCs w:val="22"/>
        </w:rPr>
        <w:t>acubitril valsartan</w:t>
      </w:r>
      <w:r w:rsidRPr="000417E4">
        <w:rPr>
          <w:rFonts w:ascii="Calibri" w:hAnsi="Calibri" w:cs="Calibri"/>
          <w:color w:val="000000" w:themeColor="text1"/>
          <w:sz w:val="22"/>
          <w:szCs w:val="22"/>
        </w:rPr>
        <w:t xml:space="preserve"> (Entresto®)</w:t>
      </w:r>
      <w:r w:rsidR="00A04B05" w:rsidRPr="000417E4">
        <w:rPr>
          <w:rFonts w:ascii="Calibri" w:hAnsi="Calibri" w:cs="Calibri"/>
          <w:color w:val="000000" w:themeColor="text1"/>
          <w:sz w:val="22"/>
          <w:szCs w:val="22"/>
        </w:rPr>
        <w:t xml:space="preserve"> is an option in those with symptomatic chronic HFrEF who remain symptomatic (NYHA II or above) taking a </w:t>
      </w:r>
      <w:r w:rsidR="000417E4" w:rsidRPr="000417E4">
        <w:rPr>
          <w:rFonts w:ascii="Calibri" w:hAnsi="Calibri" w:cs="Calibri"/>
          <w:color w:val="000000" w:themeColor="text1"/>
          <w:sz w:val="22"/>
          <w:szCs w:val="22"/>
        </w:rPr>
        <w:t>s</w:t>
      </w:r>
      <w:r w:rsidR="00A04B05" w:rsidRPr="000417E4">
        <w:rPr>
          <w:rFonts w:ascii="Calibri" w:hAnsi="Calibri" w:cs="Calibri"/>
          <w:color w:val="000000" w:themeColor="text1"/>
          <w:sz w:val="22"/>
          <w:szCs w:val="22"/>
        </w:rPr>
        <w:t xml:space="preserve">table dose of ACEi or ARB and LVEF is &lt;35% </w:t>
      </w:r>
      <w:r w:rsidRPr="000417E4">
        <w:rPr>
          <w:rFonts w:ascii="Calibri" w:hAnsi="Calibri" w:cs="Calibri"/>
          <w:color w:val="000000" w:themeColor="text1"/>
          <w:sz w:val="22"/>
          <w:szCs w:val="22"/>
        </w:rPr>
        <w:t>.</w:t>
      </w:r>
    </w:p>
    <w:p w14:paraId="19E48755" w14:textId="1E04F28D" w:rsidR="00945314" w:rsidRPr="00945314" w:rsidRDefault="00382130" w:rsidP="00945314">
      <w:pPr>
        <w:pStyle w:val="ListParagraph"/>
        <w:widowControl w:val="0"/>
        <w:numPr>
          <w:ilvl w:val="0"/>
          <w:numId w:val="18"/>
        </w:numPr>
        <w:tabs>
          <w:tab w:val="left" w:pos="220"/>
          <w:tab w:val="left" w:pos="720"/>
        </w:tabs>
        <w:autoSpaceDE w:val="0"/>
        <w:autoSpaceDN w:val="0"/>
        <w:adjustRightInd w:val="0"/>
        <w:rPr>
          <w:rFonts w:ascii="Times" w:hAnsi="Times" w:cs="Times"/>
          <w:sz w:val="22"/>
          <w:szCs w:val="22"/>
        </w:rPr>
      </w:pPr>
      <w:r w:rsidRPr="000417E4">
        <w:rPr>
          <w:rFonts w:ascii="Calibri" w:hAnsi="Calibri" w:cs="Calibri"/>
          <w:color w:val="000000" w:themeColor="text1"/>
          <w:sz w:val="22"/>
          <w:szCs w:val="22"/>
        </w:rPr>
        <w:t xml:space="preserve">Receive the </w:t>
      </w:r>
      <w:r w:rsidR="00A04B05" w:rsidRPr="000417E4">
        <w:rPr>
          <w:rFonts w:ascii="Calibri" w:hAnsi="Calibri" w:cs="Calibri"/>
          <w:color w:val="000000" w:themeColor="text1"/>
          <w:sz w:val="22"/>
          <w:szCs w:val="22"/>
        </w:rPr>
        <w:t xml:space="preserve">current </w:t>
      </w:r>
      <w:r w:rsidR="00A04B05" w:rsidRPr="00945314">
        <w:rPr>
          <w:rFonts w:ascii="Calibri" w:hAnsi="Calibri" w:cs="Calibri"/>
          <w:sz w:val="22"/>
          <w:szCs w:val="22"/>
        </w:rPr>
        <w:t xml:space="preserve">optimum therapy (as listed above: BB, ACEi or ARB and a MRA titrated to maximum tolerated evidence based doses) a stable period of three months is required without any other pharmacotherapy drug or dose amendment (or withdrawal in the case of cardiotoxic drugs) or other non-pharmacological interventions prior to checking response and changes in ejection fraction. Thereafter, LVEF is to be &lt;35% on echocardiogram or equivalent function on alternative imaging. </w:t>
      </w:r>
    </w:p>
    <w:p w14:paraId="6F288AF0" w14:textId="77777777" w:rsidR="00A04B05" w:rsidRPr="00945314" w:rsidRDefault="00A04B05" w:rsidP="00945314">
      <w:pPr>
        <w:pStyle w:val="ListParagraph"/>
        <w:widowControl w:val="0"/>
        <w:numPr>
          <w:ilvl w:val="0"/>
          <w:numId w:val="18"/>
        </w:numPr>
        <w:tabs>
          <w:tab w:val="left" w:pos="220"/>
          <w:tab w:val="left" w:pos="720"/>
        </w:tabs>
        <w:autoSpaceDE w:val="0"/>
        <w:autoSpaceDN w:val="0"/>
        <w:adjustRightInd w:val="0"/>
        <w:rPr>
          <w:rFonts w:ascii="Times" w:hAnsi="Times" w:cs="Times"/>
          <w:sz w:val="22"/>
          <w:szCs w:val="22"/>
        </w:rPr>
      </w:pPr>
      <w:r w:rsidRPr="00945314">
        <w:rPr>
          <w:rFonts w:ascii="Calibri" w:hAnsi="Calibri" w:cs="Calibri"/>
          <w:sz w:val="22"/>
          <w:szCs w:val="22"/>
        </w:rPr>
        <w:t>For patients on longstanding therapy, a recent (within 6 months) LVEF is required to be &lt;35%.</w:t>
      </w:r>
    </w:p>
    <w:p w14:paraId="016708D6" w14:textId="4216B095" w:rsidR="00A04B05" w:rsidRPr="00945314" w:rsidRDefault="004B74C5" w:rsidP="00945314">
      <w:pPr>
        <w:pStyle w:val="ListParagraph"/>
        <w:widowControl w:val="0"/>
        <w:numPr>
          <w:ilvl w:val="0"/>
          <w:numId w:val="18"/>
        </w:numPr>
        <w:tabs>
          <w:tab w:val="left" w:pos="220"/>
          <w:tab w:val="left" w:pos="720"/>
        </w:tabs>
        <w:autoSpaceDE w:val="0"/>
        <w:autoSpaceDN w:val="0"/>
        <w:adjustRightInd w:val="0"/>
        <w:rPr>
          <w:rFonts w:ascii="Times" w:hAnsi="Times" w:cs="Times"/>
          <w:sz w:val="22"/>
          <w:szCs w:val="22"/>
        </w:rPr>
      </w:pPr>
      <w:r w:rsidRPr="00945314">
        <w:rPr>
          <w:rFonts w:ascii="Calibri" w:hAnsi="Calibri" w:cs="Calibri"/>
          <w:sz w:val="22"/>
          <w:szCs w:val="22"/>
        </w:rPr>
        <w:t>N</w:t>
      </w:r>
      <w:r w:rsidR="00A04B05" w:rsidRPr="00945314">
        <w:rPr>
          <w:rFonts w:ascii="Calibri" w:hAnsi="Calibri" w:cs="Calibri"/>
          <w:sz w:val="22"/>
          <w:szCs w:val="22"/>
        </w:rPr>
        <w:t xml:space="preserve">atriuretic </w:t>
      </w:r>
      <w:r w:rsidR="00A04B05" w:rsidRPr="006D45F4">
        <w:rPr>
          <w:rFonts w:ascii="Calibri" w:hAnsi="Calibri" w:cs="Calibri"/>
          <w:color w:val="000000" w:themeColor="text1"/>
          <w:sz w:val="22"/>
          <w:szCs w:val="22"/>
        </w:rPr>
        <w:t>peptides</w:t>
      </w:r>
      <w:r w:rsidR="000F3724" w:rsidRPr="006D45F4">
        <w:rPr>
          <w:rFonts w:ascii="Calibri" w:hAnsi="Calibri" w:cs="Calibri"/>
          <w:color w:val="000000" w:themeColor="text1"/>
          <w:sz w:val="22"/>
          <w:szCs w:val="22"/>
        </w:rPr>
        <w:t xml:space="preserve"> </w:t>
      </w:r>
      <w:r w:rsidR="006D45F4" w:rsidRPr="009B47C8">
        <w:rPr>
          <w:rFonts w:ascii="Calibri" w:hAnsi="Calibri" w:cs="Calibri"/>
          <w:color w:val="1F497D" w:themeColor="text2"/>
          <w:sz w:val="22"/>
          <w:szCs w:val="22"/>
        </w:rPr>
        <w:t>can be used (new 2019)</w:t>
      </w:r>
      <w:r w:rsidR="006D45F4">
        <w:rPr>
          <w:rFonts w:ascii="Calibri" w:hAnsi="Calibri" w:cs="Calibri"/>
          <w:color w:val="000000" w:themeColor="text1"/>
          <w:sz w:val="22"/>
          <w:szCs w:val="22"/>
        </w:rPr>
        <w:t xml:space="preserve"> </w:t>
      </w:r>
      <w:r w:rsidR="00A04B05" w:rsidRPr="006D45F4">
        <w:rPr>
          <w:rFonts w:ascii="Calibri" w:hAnsi="Calibri" w:cs="Calibri"/>
          <w:color w:val="000000" w:themeColor="text1"/>
          <w:sz w:val="22"/>
          <w:szCs w:val="22"/>
        </w:rPr>
        <w:t xml:space="preserve">to </w:t>
      </w:r>
      <w:r w:rsidR="00A04B05" w:rsidRPr="00945314">
        <w:rPr>
          <w:rFonts w:ascii="Calibri" w:hAnsi="Calibri" w:cs="Calibri"/>
          <w:sz w:val="22"/>
          <w:szCs w:val="22"/>
        </w:rPr>
        <w:t xml:space="preserve">select patients (as was undertaken in the PARADIGM study) to identify patients who will benefit from treatment with sacubitril valsartan (BNP &gt; 150pg/ml (NT-proBNP&gt;600pg/ml) or if hospitalisation for HF within the last 12 months BNP&gt;100pg/ml (NT-proBNP&gt;400pg/ml). To date there is no large outcome data to support its use in those with natriuretic peptide below those stated. </w:t>
      </w:r>
    </w:p>
    <w:p w14:paraId="68CA9FBB" w14:textId="0A65189A" w:rsidR="00A04B05" w:rsidRPr="00945314" w:rsidRDefault="00A04B05" w:rsidP="00945314">
      <w:pPr>
        <w:pStyle w:val="ListParagraph"/>
        <w:widowControl w:val="0"/>
        <w:numPr>
          <w:ilvl w:val="0"/>
          <w:numId w:val="18"/>
        </w:numPr>
        <w:tabs>
          <w:tab w:val="left" w:pos="220"/>
          <w:tab w:val="left" w:pos="720"/>
        </w:tabs>
        <w:autoSpaceDE w:val="0"/>
        <w:autoSpaceDN w:val="0"/>
        <w:adjustRightInd w:val="0"/>
        <w:rPr>
          <w:rFonts w:ascii="Times" w:hAnsi="Times" w:cs="Times"/>
          <w:sz w:val="22"/>
          <w:szCs w:val="22"/>
        </w:rPr>
      </w:pPr>
      <w:r w:rsidRPr="00945314">
        <w:rPr>
          <w:rFonts w:ascii="Calibri" w:hAnsi="Calibri" w:cs="Calibri"/>
          <w:sz w:val="22"/>
          <w:szCs w:val="22"/>
        </w:rPr>
        <w:t xml:space="preserve">A summary of the use of sacubitril valsartan in clinical practice </w:t>
      </w:r>
      <w:r w:rsidR="00A239A3">
        <w:rPr>
          <w:rFonts w:ascii="Calibri" w:hAnsi="Calibri" w:cs="Calibri"/>
          <w:sz w:val="22"/>
          <w:szCs w:val="22"/>
        </w:rPr>
        <w:t xml:space="preserve">(NG 106) </w:t>
      </w:r>
      <w:r w:rsidRPr="00945314">
        <w:rPr>
          <w:rFonts w:ascii="Calibri" w:hAnsi="Calibri" w:cs="Calibri"/>
          <w:sz w:val="22"/>
          <w:szCs w:val="22"/>
        </w:rPr>
        <w:t xml:space="preserve">is provided in Appendix 3. </w:t>
      </w:r>
    </w:p>
    <w:p w14:paraId="405EA64C" w14:textId="77777777" w:rsidR="00A04B05" w:rsidRPr="006D45F4" w:rsidRDefault="00A04B05" w:rsidP="00A04B05">
      <w:pPr>
        <w:widowControl w:val="0"/>
        <w:numPr>
          <w:ilvl w:val="0"/>
          <w:numId w:val="5"/>
        </w:numPr>
        <w:tabs>
          <w:tab w:val="left" w:pos="220"/>
          <w:tab w:val="left" w:pos="720"/>
        </w:tabs>
        <w:autoSpaceDE w:val="0"/>
        <w:autoSpaceDN w:val="0"/>
        <w:adjustRightInd w:val="0"/>
        <w:ind w:hanging="720"/>
        <w:rPr>
          <w:rFonts w:ascii="Times" w:hAnsi="Times" w:cs="Times"/>
          <w:sz w:val="16"/>
          <w:szCs w:val="16"/>
        </w:rPr>
      </w:pPr>
    </w:p>
    <w:p w14:paraId="0A1E7CFE" w14:textId="77777777" w:rsidR="00A04B05" w:rsidRPr="00A04B05" w:rsidRDefault="00A04B05" w:rsidP="00271D53">
      <w:pPr>
        <w:widowControl w:val="0"/>
        <w:tabs>
          <w:tab w:val="left" w:pos="220"/>
          <w:tab w:val="left" w:pos="720"/>
        </w:tabs>
        <w:autoSpaceDE w:val="0"/>
        <w:autoSpaceDN w:val="0"/>
        <w:adjustRightInd w:val="0"/>
        <w:rPr>
          <w:rFonts w:ascii="Times" w:hAnsi="Times" w:cs="Times"/>
          <w:sz w:val="22"/>
          <w:szCs w:val="22"/>
        </w:rPr>
      </w:pPr>
      <w:r w:rsidRPr="00A04B05">
        <w:rPr>
          <w:rFonts w:ascii="Calibri" w:hAnsi="Calibri" w:cs="Calibri"/>
          <w:b/>
          <w:bCs/>
          <w:sz w:val="22"/>
          <w:szCs w:val="22"/>
        </w:rPr>
        <w:t xml:space="preserve">Initiation of sacubitril valsartan </w:t>
      </w:r>
    </w:p>
    <w:p w14:paraId="3CF855B6" w14:textId="073D54C7" w:rsidR="004A760A" w:rsidRPr="006D45F4" w:rsidRDefault="00A04B05" w:rsidP="00271D53">
      <w:pPr>
        <w:pStyle w:val="ListParagraph"/>
        <w:widowControl w:val="0"/>
        <w:numPr>
          <w:ilvl w:val="0"/>
          <w:numId w:val="19"/>
        </w:numPr>
        <w:tabs>
          <w:tab w:val="left" w:pos="220"/>
          <w:tab w:val="left" w:pos="720"/>
        </w:tabs>
        <w:autoSpaceDE w:val="0"/>
        <w:autoSpaceDN w:val="0"/>
        <w:adjustRightInd w:val="0"/>
        <w:rPr>
          <w:rFonts w:ascii="Times" w:hAnsi="Times" w:cs="Times"/>
          <w:color w:val="0070C0"/>
          <w:sz w:val="22"/>
          <w:szCs w:val="22"/>
        </w:rPr>
      </w:pPr>
      <w:r w:rsidRPr="006D45F4">
        <w:rPr>
          <w:rFonts w:ascii="Calibri" w:hAnsi="Calibri" w:cs="Calibri"/>
          <w:b/>
          <w:sz w:val="22"/>
          <w:szCs w:val="22"/>
        </w:rPr>
        <w:t xml:space="preserve">Initiation of sacubitril valsartan is to be undertaken under the direction of a consultant with an established expertise in managing patients with heart failure and access to a multidisciplinary team. </w:t>
      </w:r>
      <w:r w:rsidR="00A40DDB" w:rsidRPr="009B47C8">
        <w:rPr>
          <w:rFonts w:ascii="Calibri" w:hAnsi="Calibri" w:cs="Calibri"/>
          <w:color w:val="1F497D" w:themeColor="text2"/>
          <w:sz w:val="22"/>
          <w:szCs w:val="22"/>
        </w:rPr>
        <w:t>Individual secondary care units may wish to delegate the initiation of sacubitril valsartan to community heart failure teams provided the team has a clinical lead consultant cardiologist and specialist in heart failure who has directly reviewed or had an MDT discussion regarding the patient for treatment options in line with NICE guidance. Community teams should prospectively declare their competence in writing to be able to prescribe sacubitril valsartan or else refer the patient to the consultant to initiate sacubitril valsartan</w:t>
      </w:r>
      <w:r w:rsidR="00A40DDB" w:rsidRPr="009B47C8">
        <w:rPr>
          <w:rFonts w:ascii="Calibri" w:hAnsi="Calibri" w:cs="Calibri"/>
          <w:i/>
          <w:color w:val="1F497D" w:themeColor="text2"/>
          <w:sz w:val="22"/>
          <w:szCs w:val="22"/>
        </w:rPr>
        <w:t xml:space="preserve"> </w:t>
      </w:r>
      <w:r w:rsidR="00A40DDB" w:rsidRPr="009B47C8">
        <w:rPr>
          <w:rFonts w:ascii="Calibri" w:hAnsi="Calibri" w:cs="Calibri"/>
          <w:color w:val="1F497D" w:themeColor="text2"/>
          <w:sz w:val="22"/>
          <w:szCs w:val="22"/>
        </w:rPr>
        <w:t xml:space="preserve">(New </w:t>
      </w:r>
      <w:r w:rsidR="006D45F4" w:rsidRPr="009B47C8">
        <w:rPr>
          <w:rFonts w:ascii="Calibri" w:hAnsi="Calibri" w:cs="Calibri"/>
          <w:color w:val="1F497D" w:themeColor="text2"/>
          <w:sz w:val="22"/>
          <w:szCs w:val="22"/>
        </w:rPr>
        <w:t xml:space="preserve">Jan </w:t>
      </w:r>
      <w:r w:rsidR="00A40DDB" w:rsidRPr="009B47C8">
        <w:rPr>
          <w:rFonts w:ascii="Calibri" w:hAnsi="Calibri" w:cs="Calibri"/>
          <w:color w:val="1F497D" w:themeColor="text2"/>
          <w:sz w:val="22"/>
          <w:szCs w:val="22"/>
        </w:rPr>
        <w:t>201</w:t>
      </w:r>
      <w:r w:rsidR="006D45F4" w:rsidRPr="009B47C8">
        <w:rPr>
          <w:rFonts w:ascii="Calibri" w:hAnsi="Calibri" w:cs="Calibri"/>
          <w:color w:val="1F497D" w:themeColor="text2"/>
          <w:sz w:val="22"/>
          <w:szCs w:val="22"/>
        </w:rPr>
        <w:t>9</w:t>
      </w:r>
      <w:r w:rsidR="00A40DDB" w:rsidRPr="009B47C8">
        <w:rPr>
          <w:rFonts w:ascii="Calibri" w:hAnsi="Calibri" w:cs="Calibri"/>
          <w:color w:val="1F497D" w:themeColor="text2"/>
          <w:sz w:val="22"/>
          <w:szCs w:val="22"/>
        </w:rPr>
        <w:t>).</w:t>
      </w:r>
    </w:p>
    <w:p w14:paraId="1DFD0E72" w14:textId="56EA105C" w:rsidR="00A04B05" w:rsidRPr="00271D53" w:rsidRDefault="00A04B05" w:rsidP="00271D53">
      <w:pPr>
        <w:pStyle w:val="ListParagraph"/>
        <w:widowControl w:val="0"/>
        <w:numPr>
          <w:ilvl w:val="0"/>
          <w:numId w:val="19"/>
        </w:numPr>
        <w:tabs>
          <w:tab w:val="left" w:pos="220"/>
          <w:tab w:val="left" w:pos="720"/>
        </w:tabs>
        <w:autoSpaceDE w:val="0"/>
        <w:autoSpaceDN w:val="0"/>
        <w:adjustRightInd w:val="0"/>
        <w:rPr>
          <w:rFonts w:ascii="Times" w:hAnsi="Times" w:cs="Times"/>
          <w:sz w:val="22"/>
          <w:szCs w:val="22"/>
        </w:rPr>
      </w:pPr>
      <w:r w:rsidRPr="00271D53">
        <w:rPr>
          <w:rFonts w:ascii="Calibri" w:hAnsi="Calibri" w:cs="Calibri"/>
          <w:sz w:val="22"/>
          <w:szCs w:val="22"/>
        </w:rPr>
        <w:t>At initiation, patients must be non-pregnant, have systolic BP &gt; 100 mmHg, serum potassium &lt;5.4 mmol/l, eGFR&gt;</w:t>
      </w:r>
      <w:r w:rsidR="00AA5E3D">
        <w:rPr>
          <w:rFonts w:ascii="Calibri" w:hAnsi="Calibri" w:cs="Calibri"/>
          <w:sz w:val="22"/>
          <w:szCs w:val="22"/>
        </w:rPr>
        <w:t>15</w:t>
      </w:r>
      <w:r w:rsidRPr="00271D53">
        <w:rPr>
          <w:rFonts w:ascii="Calibri" w:hAnsi="Calibri" w:cs="Calibri"/>
          <w:sz w:val="22"/>
          <w:szCs w:val="22"/>
        </w:rPr>
        <w:t xml:space="preserve"> ml/min/1.73 m2 </w:t>
      </w:r>
      <w:r w:rsidR="00AA5E3D">
        <w:rPr>
          <w:rFonts w:ascii="Calibri" w:hAnsi="Calibri" w:cs="Calibri"/>
          <w:sz w:val="22"/>
          <w:szCs w:val="22"/>
        </w:rPr>
        <w:t xml:space="preserve">(see below for further details regarding dosing in renal impairment) </w:t>
      </w:r>
      <w:r w:rsidRPr="00271D53">
        <w:rPr>
          <w:rFonts w:ascii="Calibri" w:hAnsi="Calibri" w:cs="Calibri"/>
          <w:sz w:val="22"/>
          <w:szCs w:val="22"/>
        </w:rPr>
        <w:t xml:space="preserve">without severe hepatic impairment, biliary cirrhosis and cholestasis. Other exclusion criteria are on the summary of product characteristics. </w:t>
      </w:r>
    </w:p>
    <w:p w14:paraId="101FF166" w14:textId="77777777" w:rsidR="00A04B05" w:rsidRPr="00271D53" w:rsidRDefault="00A04B05" w:rsidP="00271D53">
      <w:pPr>
        <w:pStyle w:val="ListParagraph"/>
        <w:widowControl w:val="0"/>
        <w:numPr>
          <w:ilvl w:val="0"/>
          <w:numId w:val="19"/>
        </w:numPr>
        <w:tabs>
          <w:tab w:val="left" w:pos="220"/>
          <w:tab w:val="left" w:pos="720"/>
        </w:tabs>
        <w:autoSpaceDE w:val="0"/>
        <w:autoSpaceDN w:val="0"/>
        <w:adjustRightInd w:val="0"/>
        <w:rPr>
          <w:rFonts w:ascii="Times" w:hAnsi="Times" w:cs="Times"/>
          <w:sz w:val="22"/>
          <w:szCs w:val="22"/>
        </w:rPr>
      </w:pPr>
      <w:r w:rsidRPr="00271D53">
        <w:rPr>
          <w:rFonts w:ascii="Calibri" w:hAnsi="Calibri" w:cs="Calibri"/>
          <w:sz w:val="22"/>
          <w:szCs w:val="22"/>
        </w:rPr>
        <w:t xml:space="preserve">For those taking an ACEi, a wash out period of 36 to 48 hours is required, the exact duration determined by patient’s current therapy and clinical characteristics. This is to reduce increased risk of severe angioedema with concomitant ACEi and sacubitril use. </w:t>
      </w:r>
    </w:p>
    <w:p w14:paraId="347CA28F" w14:textId="77777777" w:rsidR="00A04B05" w:rsidRPr="00271D53" w:rsidRDefault="00A04B05" w:rsidP="00271D53">
      <w:pPr>
        <w:pStyle w:val="ListParagraph"/>
        <w:widowControl w:val="0"/>
        <w:numPr>
          <w:ilvl w:val="0"/>
          <w:numId w:val="19"/>
        </w:numPr>
        <w:tabs>
          <w:tab w:val="left" w:pos="220"/>
          <w:tab w:val="left" w:pos="720"/>
        </w:tabs>
        <w:autoSpaceDE w:val="0"/>
        <w:autoSpaceDN w:val="0"/>
        <w:adjustRightInd w:val="0"/>
        <w:rPr>
          <w:rFonts w:ascii="Times" w:hAnsi="Times" w:cs="Times"/>
          <w:sz w:val="22"/>
          <w:szCs w:val="22"/>
        </w:rPr>
      </w:pPr>
      <w:r w:rsidRPr="00271D53">
        <w:rPr>
          <w:rFonts w:ascii="Calibri" w:hAnsi="Calibri" w:cs="Calibri"/>
          <w:sz w:val="22"/>
          <w:szCs w:val="22"/>
        </w:rPr>
        <w:t xml:space="preserve">For those taking an ARB, start sacubitril valsartan at next scheduled dose of ARB. </w:t>
      </w:r>
    </w:p>
    <w:p w14:paraId="2C750CE3" w14:textId="77777777" w:rsidR="00A04B05" w:rsidRPr="00271D53" w:rsidRDefault="00A04B05" w:rsidP="00271D53">
      <w:pPr>
        <w:pStyle w:val="ListParagraph"/>
        <w:widowControl w:val="0"/>
        <w:numPr>
          <w:ilvl w:val="0"/>
          <w:numId w:val="19"/>
        </w:numPr>
        <w:tabs>
          <w:tab w:val="left" w:pos="220"/>
          <w:tab w:val="left" w:pos="720"/>
        </w:tabs>
        <w:autoSpaceDE w:val="0"/>
        <w:autoSpaceDN w:val="0"/>
        <w:adjustRightInd w:val="0"/>
        <w:rPr>
          <w:rFonts w:ascii="Times" w:hAnsi="Times" w:cs="Times"/>
          <w:sz w:val="22"/>
          <w:szCs w:val="22"/>
        </w:rPr>
      </w:pPr>
      <w:r w:rsidRPr="00271D53">
        <w:rPr>
          <w:rFonts w:ascii="Calibri" w:hAnsi="Calibri" w:cs="Calibri"/>
          <w:sz w:val="22"/>
          <w:szCs w:val="22"/>
        </w:rPr>
        <w:t xml:space="preserve">Initiation and titration to stable maintenance dose should be undertaken by the initiating team, it is </w:t>
      </w:r>
      <w:r w:rsidRPr="00271D53">
        <w:rPr>
          <w:rFonts w:ascii="Calibri" w:hAnsi="Calibri" w:cs="Calibri"/>
          <w:sz w:val="22"/>
          <w:szCs w:val="22"/>
        </w:rPr>
        <w:lastRenderedPageBreak/>
        <w:t xml:space="preserve">estimated this may take up to 3 months in selected patients as although tolerability was similar to ACEi in the PARADIGM trial, this was undertaken in highly selected patients that the group felt were relatively more stable than those generally seen in clinic. </w:t>
      </w:r>
    </w:p>
    <w:p w14:paraId="217C1824" w14:textId="77777777" w:rsidR="00A04B05" w:rsidRPr="00271D53" w:rsidRDefault="00A04B05" w:rsidP="00271D53">
      <w:pPr>
        <w:pStyle w:val="ListParagraph"/>
        <w:widowControl w:val="0"/>
        <w:numPr>
          <w:ilvl w:val="0"/>
          <w:numId w:val="19"/>
        </w:numPr>
        <w:tabs>
          <w:tab w:val="left" w:pos="142"/>
          <w:tab w:val="left" w:pos="940"/>
        </w:tabs>
        <w:autoSpaceDE w:val="0"/>
        <w:autoSpaceDN w:val="0"/>
        <w:adjustRightInd w:val="0"/>
        <w:rPr>
          <w:rFonts w:ascii="Times" w:hAnsi="Times" w:cs="Times"/>
          <w:sz w:val="22"/>
          <w:szCs w:val="22"/>
        </w:rPr>
      </w:pPr>
      <w:r w:rsidRPr="00271D53">
        <w:rPr>
          <w:rFonts w:ascii="Calibri" w:hAnsi="Calibri" w:cs="Calibri"/>
          <w:sz w:val="22"/>
          <w:szCs w:val="22"/>
        </w:rPr>
        <w:t xml:space="preserve">Starting dose and titration in those on established ACEi or ARB (after ceasing ACEi or ARB): </w:t>
      </w:r>
    </w:p>
    <w:p w14:paraId="30B6CEFB" w14:textId="77777777" w:rsidR="00A04B05" w:rsidRPr="00271D53" w:rsidRDefault="00A04B05" w:rsidP="00271D53">
      <w:pPr>
        <w:pStyle w:val="ListParagraph"/>
        <w:widowControl w:val="0"/>
        <w:numPr>
          <w:ilvl w:val="1"/>
          <w:numId w:val="19"/>
        </w:numPr>
        <w:tabs>
          <w:tab w:val="left" w:pos="1134"/>
          <w:tab w:val="left" w:pos="1418"/>
        </w:tabs>
        <w:autoSpaceDE w:val="0"/>
        <w:autoSpaceDN w:val="0"/>
        <w:adjustRightInd w:val="0"/>
        <w:rPr>
          <w:rFonts w:ascii="Times" w:hAnsi="Times" w:cs="Times"/>
          <w:sz w:val="22"/>
          <w:szCs w:val="22"/>
        </w:rPr>
      </w:pPr>
      <w:r w:rsidRPr="00271D53">
        <w:rPr>
          <w:rFonts w:ascii="Calibri" w:hAnsi="Calibri" w:cs="Calibri"/>
          <w:sz w:val="22"/>
          <w:szCs w:val="22"/>
        </w:rPr>
        <w:t xml:space="preserve">Initiate 49mg/51mg sacubitril valsartan twice daily for 2-4 weeks then </w:t>
      </w:r>
    </w:p>
    <w:p w14:paraId="702F4BF9" w14:textId="77777777" w:rsidR="00A04B05" w:rsidRPr="00271D53" w:rsidRDefault="00A04B05" w:rsidP="00271D53">
      <w:pPr>
        <w:pStyle w:val="ListParagraph"/>
        <w:widowControl w:val="0"/>
        <w:numPr>
          <w:ilvl w:val="1"/>
          <w:numId w:val="19"/>
        </w:numPr>
        <w:tabs>
          <w:tab w:val="left" w:pos="1134"/>
          <w:tab w:val="left" w:pos="1418"/>
        </w:tabs>
        <w:autoSpaceDE w:val="0"/>
        <w:autoSpaceDN w:val="0"/>
        <w:adjustRightInd w:val="0"/>
        <w:rPr>
          <w:rFonts w:ascii="Times" w:hAnsi="Times" w:cs="Times"/>
          <w:sz w:val="22"/>
          <w:szCs w:val="22"/>
        </w:rPr>
      </w:pPr>
      <w:r w:rsidRPr="00271D53">
        <w:rPr>
          <w:rFonts w:ascii="Calibri" w:hAnsi="Calibri" w:cs="Calibri"/>
          <w:sz w:val="22"/>
          <w:szCs w:val="22"/>
        </w:rPr>
        <w:t>Increase to 97mg/103mg sacubitril valsartan twice daily thereafter</w:t>
      </w:r>
    </w:p>
    <w:p w14:paraId="618272A9" w14:textId="77777777" w:rsidR="00A04B05" w:rsidRPr="00271D53" w:rsidRDefault="00A04B05" w:rsidP="00271D53">
      <w:pPr>
        <w:pStyle w:val="ListParagraph"/>
        <w:widowControl w:val="0"/>
        <w:numPr>
          <w:ilvl w:val="0"/>
          <w:numId w:val="19"/>
        </w:numPr>
        <w:tabs>
          <w:tab w:val="left" w:pos="709"/>
          <w:tab w:val="left" w:pos="1134"/>
          <w:tab w:val="left" w:pos="1440"/>
        </w:tabs>
        <w:autoSpaceDE w:val="0"/>
        <w:autoSpaceDN w:val="0"/>
        <w:adjustRightInd w:val="0"/>
        <w:rPr>
          <w:rFonts w:ascii="Times" w:hAnsi="Times" w:cs="Times"/>
          <w:sz w:val="22"/>
          <w:szCs w:val="22"/>
        </w:rPr>
      </w:pPr>
      <w:r w:rsidRPr="00271D53">
        <w:rPr>
          <w:rFonts w:ascii="Calibri" w:hAnsi="Calibri" w:cs="Calibri"/>
          <w:sz w:val="22"/>
          <w:szCs w:val="22"/>
        </w:rPr>
        <w:t xml:space="preserve">Starting dose in those patients not taking an ACEi or ARB, or taking low doses: </w:t>
      </w:r>
    </w:p>
    <w:p w14:paraId="6475AA1D" w14:textId="77777777" w:rsidR="00A04B05" w:rsidRPr="00271D53" w:rsidRDefault="00A04B05" w:rsidP="00271D53">
      <w:pPr>
        <w:pStyle w:val="ListParagraph"/>
        <w:widowControl w:val="0"/>
        <w:numPr>
          <w:ilvl w:val="1"/>
          <w:numId w:val="19"/>
        </w:numPr>
        <w:tabs>
          <w:tab w:val="left" w:pos="1134"/>
          <w:tab w:val="left" w:pos="1418"/>
        </w:tabs>
        <w:autoSpaceDE w:val="0"/>
        <w:autoSpaceDN w:val="0"/>
        <w:adjustRightInd w:val="0"/>
        <w:rPr>
          <w:rFonts w:ascii="Times" w:hAnsi="Times" w:cs="Times"/>
          <w:sz w:val="22"/>
          <w:szCs w:val="22"/>
        </w:rPr>
      </w:pPr>
      <w:r w:rsidRPr="00271D53">
        <w:rPr>
          <w:rFonts w:ascii="Calibri" w:hAnsi="Calibri" w:cs="Calibri"/>
          <w:sz w:val="22"/>
          <w:szCs w:val="22"/>
        </w:rPr>
        <w:t xml:space="preserve">Initiate 24mg/26mg sacubitril valsartan twice daily for 3-4 weeks then </w:t>
      </w:r>
    </w:p>
    <w:p w14:paraId="110C09E2" w14:textId="77777777" w:rsidR="00A04B05" w:rsidRPr="00271D53" w:rsidRDefault="00A04B05" w:rsidP="00271D53">
      <w:pPr>
        <w:pStyle w:val="ListParagraph"/>
        <w:widowControl w:val="0"/>
        <w:numPr>
          <w:ilvl w:val="1"/>
          <w:numId w:val="19"/>
        </w:numPr>
        <w:tabs>
          <w:tab w:val="left" w:pos="1134"/>
          <w:tab w:val="left" w:pos="1418"/>
        </w:tabs>
        <w:autoSpaceDE w:val="0"/>
        <w:autoSpaceDN w:val="0"/>
        <w:adjustRightInd w:val="0"/>
        <w:rPr>
          <w:rFonts w:ascii="Times" w:hAnsi="Times" w:cs="Times"/>
          <w:sz w:val="22"/>
          <w:szCs w:val="22"/>
        </w:rPr>
      </w:pPr>
      <w:r w:rsidRPr="00271D53">
        <w:rPr>
          <w:rFonts w:ascii="Calibri" w:hAnsi="Calibri" w:cs="Calibri"/>
          <w:sz w:val="22"/>
          <w:szCs w:val="22"/>
        </w:rPr>
        <w:t xml:space="preserve">Increase to 49mg/51mg sacubitril valsartan twice daily for 3-4 weeks then </w:t>
      </w:r>
    </w:p>
    <w:p w14:paraId="15E3D36F" w14:textId="77777777" w:rsidR="00D45009" w:rsidRPr="00271D53" w:rsidRDefault="00A04B05" w:rsidP="00271D53">
      <w:pPr>
        <w:pStyle w:val="ListParagraph"/>
        <w:widowControl w:val="0"/>
        <w:numPr>
          <w:ilvl w:val="1"/>
          <w:numId w:val="19"/>
        </w:numPr>
        <w:tabs>
          <w:tab w:val="left" w:pos="1134"/>
          <w:tab w:val="left" w:pos="1418"/>
        </w:tabs>
        <w:autoSpaceDE w:val="0"/>
        <w:autoSpaceDN w:val="0"/>
        <w:adjustRightInd w:val="0"/>
        <w:rPr>
          <w:rFonts w:ascii="Times" w:hAnsi="Times" w:cs="Times"/>
          <w:sz w:val="22"/>
          <w:szCs w:val="22"/>
        </w:rPr>
      </w:pPr>
      <w:r w:rsidRPr="00271D53">
        <w:rPr>
          <w:rFonts w:ascii="Calibri" w:hAnsi="Calibri" w:cs="Calibri"/>
          <w:sz w:val="22"/>
          <w:szCs w:val="22"/>
        </w:rPr>
        <w:t>Increase to 97mg/103mg sacubitril valsartan twice daily thereafter</w:t>
      </w:r>
    </w:p>
    <w:p w14:paraId="603302DE" w14:textId="77777777" w:rsidR="00A04B05" w:rsidRPr="00271D53" w:rsidRDefault="00A04B05" w:rsidP="00271D53">
      <w:pPr>
        <w:pStyle w:val="ListParagraph"/>
        <w:widowControl w:val="0"/>
        <w:numPr>
          <w:ilvl w:val="0"/>
          <w:numId w:val="19"/>
        </w:numPr>
        <w:tabs>
          <w:tab w:val="left" w:pos="1134"/>
          <w:tab w:val="left" w:pos="1418"/>
        </w:tabs>
        <w:autoSpaceDE w:val="0"/>
        <w:autoSpaceDN w:val="0"/>
        <w:adjustRightInd w:val="0"/>
        <w:rPr>
          <w:rFonts w:ascii="Times" w:hAnsi="Times" w:cs="Times"/>
          <w:sz w:val="22"/>
          <w:szCs w:val="22"/>
        </w:rPr>
      </w:pPr>
      <w:r w:rsidRPr="00271D53">
        <w:rPr>
          <w:rFonts w:ascii="Calibri" w:hAnsi="Calibri" w:cs="Calibri"/>
          <w:sz w:val="22"/>
          <w:szCs w:val="22"/>
        </w:rPr>
        <w:t>If patients experience tolerability issues (systolic blood pressure ≤95 mmHg, symptomatic hypotension, hyperkalaemia, renal dysfunction), adjustment of concomitant medicinal products, temporary down–titration or discontinuation is recommended).</w:t>
      </w:r>
      <w:r w:rsidR="00D45009" w:rsidRPr="00271D53">
        <w:rPr>
          <w:rFonts w:ascii="Calibri" w:hAnsi="Calibri" w:cs="Calibri"/>
          <w:sz w:val="22"/>
          <w:szCs w:val="22"/>
        </w:rPr>
        <w:t xml:space="preserve">  </w:t>
      </w:r>
      <w:r w:rsidRPr="00271D53">
        <w:rPr>
          <w:rFonts w:ascii="Calibri" w:hAnsi="Calibri" w:cs="Calibri"/>
          <w:sz w:val="22"/>
          <w:szCs w:val="22"/>
        </w:rPr>
        <w:t xml:space="preserve">NOTE: Full details of side effects and monitoring parameters can be found in the summary of product characteristics available at </w:t>
      </w:r>
      <w:r w:rsidRPr="00271D53">
        <w:rPr>
          <w:rFonts w:ascii="Calibri" w:hAnsi="Calibri" w:cs="Calibri"/>
          <w:color w:val="0000FF"/>
          <w:sz w:val="22"/>
          <w:szCs w:val="22"/>
        </w:rPr>
        <w:t xml:space="preserve">www.medicines.org.uk </w:t>
      </w:r>
    </w:p>
    <w:p w14:paraId="2001EBAC" w14:textId="77777777" w:rsidR="00A04B05" w:rsidRPr="009B47C8" w:rsidRDefault="00A04B05" w:rsidP="00271D53">
      <w:pPr>
        <w:pStyle w:val="ListParagraph"/>
        <w:widowControl w:val="0"/>
        <w:numPr>
          <w:ilvl w:val="0"/>
          <w:numId w:val="19"/>
        </w:numPr>
        <w:tabs>
          <w:tab w:val="left" w:pos="220"/>
          <w:tab w:val="left" w:pos="720"/>
        </w:tabs>
        <w:autoSpaceDE w:val="0"/>
        <w:autoSpaceDN w:val="0"/>
        <w:adjustRightInd w:val="0"/>
        <w:rPr>
          <w:rFonts w:asciiTheme="majorHAnsi" w:hAnsiTheme="majorHAnsi" w:cs="Times"/>
          <w:sz w:val="22"/>
          <w:szCs w:val="22"/>
        </w:rPr>
      </w:pPr>
      <w:r w:rsidRPr="00271D53">
        <w:rPr>
          <w:rFonts w:ascii="Calibri" w:hAnsi="Calibri" w:cs="Calibri"/>
          <w:sz w:val="22"/>
          <w:szCs w:val="22"/>
        </w:rPr>
        <w:t xml:space="preserve">It is encouraged to follow up outcomes in patients newly started on sacubitril valsartan. Depending on resources </w:t>
      </w:r>
      <w:r w:rsidRPr="009B47C8">
        <w:rPr>
          <w:rFonts w:asciiTheme="majorHAnsi" w:hAnsiTheme="majorHAnsi" w:cs="Calibri"/>
          <w:sz w:val="22"/>
          <w:szCs w:val="22"/>
        </w:rPr>
        <w:t xml:space="preserve">available this could be undertaken locally or collectively using a registry data base ideally supported by academic health science network. </w:t>
      </w:r>
    </w:p>
    <w:p w14:paraId="55C51601" w14:textId="77777777" w:rsidR="00AA5E3D" w:rsidRDefault="00AA5E3D" w:rsidP="009B47C8">
      <w:pPr>
        <w:widowControl w:val="0"/>
        <w:tabs>
          <w:tab w:val="left" w:pos="220"/>
          <w:tab w:val="left" w:pos="720"/>
        </w:tabs>
        <w:autoSpaceDE w:val="0"/>
        <w:autoSpaceDN w:val="0"/>
        <w:adjustRightInd w:val="0"/>
        <w:rPr>
          <w:rFonts w:asciiTheme="majorHAnsi" w:hAnsiTheme="majorHAnsi" w:cs="Times"/>
          <w:sz w:val="22"/>
          <w:szCs w:val="22"/>
        </w:rPr>
      </w:pPr>
    </w:p>
    <w:p w14:paraId="2F3D35FF" w14:textId="556F86BF" w:rsidR="00A46A42" w:rsidRPr="009B47C8" w:rsidRDefault="00A46A42" w:rsidP="009B47C8">
      <w:pPr>
        <w:widowControl w:val="0"/>
        <w:tabs>
          <w:tab w:val="left" w:pos="220"/>
          <w:tab w:val="left" w:pos="720"/>
        </w:tabs>
        <w:autoSpaceDE w:val="0"/>
        <w:autoSpaceDN w:val="0"/>
        <w:adjustRightInd w:val="0"/>
        <w:rPr>
          <w:rFonts w:asciiTheme="majorHAnsi" w:hAnsiTheme="majorHAnsi" w:cs="Times"/>
          <w:b/>
          <w:color w:val="1F497D" w:themeColor="text2"/>
          <w:sz w:val="22"/>
          <w:szCs w:val="22"/>
        </w:rPr>
      </w:pPr>
      <w:r w:rsidRPr="009B47C8">
        <w:rPr>
          <w:rFonts w:asciiTheme="majorHAnsi" w:hAnsiTheme="majorHAnsi" w:cs="Times"/>
          <w:b/>
          <w:color w:val="1F497D" w:themeColor="text2"/>
          <w:sz w:val="22"/>
          <w:szCs w:val="22"/>
        </w:rPr>
        <w:t>Dosing in renal impairment</w:t>
      </w:r>
      <w:r w:rsidR="009B47C8" w:rsidRPr="009B47C8">
        <w:rPr>
          <w:rFonts w:asciiTheme="majorHAnsi" w:hAnsiTheme="majorHAnsi" w:cs="Times"/>
          <w:b/>
          <w:color w:val="1F497D" w:themeColor="text2"/>
          <w:sz w:val="22"/>
          <w:szCs w:val="22"/>
        </w:rPr>
        <w:t xml:space="preserve"> (new Jan 2019)</w:t>
      </w:r>
    </w:p>
    <w:p w14:paraId="517815FB" w14:textId="07ACA758" w:rsidR="00A46A42" w:rsidRPr="009B47C8" w:rsidRDefault="00E2270E" w:rsidP="009B47C8">
      <w:pPr>
        <w:pStyle w:val="ListParagraph"/>
        <w:widowControl w:val="0"/>
        <w:numPr>
          <w:ilvl w:val="0"/>
          <w:numId w:val="26"/>
        </w:numPr>
        <w:tabs>
          <w:tab w:val="left" w:pos="220"/>
          <w:tab w:val="left" w:pos="720"/>
        </w:tabs>
        <w:autoSpaceDE w:val="0"/>
        <w:autoSpaceDN w:val="0"/>
        <w:adjustRightInd w:val="0"/>
        <w:rPr>
          <w:rFonts w:asciiTheme="majorHAnsi" w:hAnsiTheme="majorHAnsi" w:cs="Times"/>
          <w:color w:val="1F497D" w:themeColor="text2"/>
          <w:sz w:val="22"/>
          <w:szCs w:val="22"/>
        </w:rPr>
      </w:pPr>
      <w:r w:rsidRPr="009B47C8">
        <w:rPr>
          <w:rFonts w:asciiTheme="majorHAnsi" w:hAnsiTheme="majorHAnsi" w:cs="Times"/>
          <w:color w:val="1F497D" w:themeColor="text2"/>
          <w:sz w:val="22"/>
          <w:szCs w:val="22"/>
        </w:rPr>
        <w:t xml:space="preserve">No dose adjustment is required </w:t>
      </w:r>
      <w:r w:rsidR="00A46A42" w:rsidRPr="009B47C8">
        <w:rPr>
          <w:rFonts w:asciiTheme="majorHAnsi" w:hAnsiTheme="majorHAnsi" w:cs="Times"/>
          <w:color w:val="1F497D" w:themeColor="text2"/>
          <w:sz w:val="22"/>
          <w:szCs w:val="22"/>
        </w:rPr>
        <w:t>in pati</w:t>
      </w:r>
      <w:r w:rsidR="00AA5E3D" w:rsidRPr="009B47C8">
        <w:rPr>
          <w:rFonts w:asciiTheme="majorHAnsi" w:hAnsiTheme="majorHAnsi" w:cs="Times"/>
          <w:color w:val="1F497D" w:themeColor="text2"/>
          <w:sz w:val="22"/>
          <w:szCs w:val="22"/>
        </w:rPr>
        <w:t xml:space="preserve">ents with mild </w:t>
      </w:r>
      <w:r w:rsidR="00A46A42" w:rsidRPr="009B47C8">
        <w:rPr>
          <w:rFonts w:asciiTheme="majorHAnsi" w:hAnsiTheme="majorHAnsi" w:cs="Times"/>
          <w:color w:val="1F497D" w:themeColor="text2"/>
          <w:sz w:val="22"/>
          <w:szCs w:val="22"/>
        </w:rPr>
        <w:t xml:space="preserve">eGFR </w:t>
      </w:r>
      <w:r w:rsidR="00AA5E3D" w:rsidRPr="009B47C8">
        <w:rPr>
          <w:rFonts w:asciiTheme="majorHAnsi" w:hAnsiTheme="majorHAnsi" w:cs="Times"/>
          <w:color w:val="1F497D" w:themeColor="text2"/>
          <w:sz w:val="22"/>
          <w:szCs w:val="22"/>
        </w:rPr>
        <w:t>(</w:t>
      </w:r>
      <w:r w:rsidR="00A46A42" w:rsidRPr="009B47C8">
        <w:rPr>
          <w:rFonts w:asciiTheme="majorHAnsi" w:hAnsiTheme="majorHAnsi" w:cs="Times"/>
          <w:color w:val="1F497D" w:themeColor="text2"/>
          <w:sz w:val="22"/>
          <w:szCs w:val="22"/>
        </w:rPr>
        <w:t xml:space="preserve">60-90ml/min/1.73m2). </w:t>
      </w:r>
      <w:r w:rsidR="00AA5E3D" w:rsidRPr="009B47C8">
        <w:rPr>
          <w:rFonts w:asciiTheme="majorHAnsi" w:hAnsiTheme="majorHAnsi" w:cs="Times"/>
          <w:color w:val="1F497D" w:themeColor="text2"/>
          <w:sz w:val="22"/>
          <w:szCs w:val="22"/>
        </w:rPr>
        <w:t xml:space="preserve"> </w:t>
      </w:r>
      <w:r w:rsidR="00A46A42" w:rsidRPr="009B47C8">
        <w:rPr>
          <w:rFonts w:asciiTheme="majorHAnsi" w:hAnsiTheme="majorHAnsi" w:cs="Times"/>
          <w:color w:val="1F497D" w:themeColor="text2"/>
          <w:sz w:val="22"/>
          <w:szCs w:val="22"/>
        </w:rPr>
        <w:t>A starting dose of 24mg/26mg twice daily should be considered in patients with moderate renal impairm</w:t>
      </w:r>
      <w:r w:rsidR="00AA5E3D" w:rsidRPr="009B47C8">
        <w:rPr>
          <w:rFonts w:asciiTheme="majorHAnsi" w:hAnsiTheme="majorHAnsi" w:cs="Times"/>
          <w:color w:val="1F497D" w:themeColor="text2"/>
          <w:sz w:val="22"/>
          <w:szCs w:val="22"/>
        </w:rPr>
        <w:t>ent (eGFR 30-60 ml/min/1.73m2).  T</w:t>
      </w:r>
      <w:r w:rsidR="00A46A42" w:rsidRPr="009B47C8">
        <w:rPr>
          <w:rFonts w:asciiTheme="majorHAnsi" w:hAnsiTheme="majorHAnsi" w:cs="Times"/>
          <w:color w:val="1F497D" w:themeColor="text2"/>
          <w:sz w:val="22"/>
          <w:szCs w:val="22"/>
        </w:rPr>
        <w:t>here is limited clinical experience in patients with severe renal impairment (eGFR</w:t>
      </w:r>
      <w:r w:rsidR="00AA5E3D" w:rsidRPr="009B47C8">
        <w:rPr>
          <w:rFonts w:asciiTheme="majorHAnsi" w:hAnsiTheme="majorHAnsi" w:cs="Times"/>
          <w:color w:val="1F497D" w:themeColor="text2"/>
          <w:sz w:val="22"/>
          <w:szCs w:val="22"/>
        </w:rPr>
        <w:t xml:space="preserve"> 15-</w:t>
      </w:r>
      <w:r w:rsidR="00A46A42" w:rsidRPr="009B47C8">
        <w:rPr>
          <w:rFonts w:asciiTheme="majorHAnsi" w:hAnsiTheme="majorHAnsi" w:cs="Times"/>
          <w:color w:val="1F497D" w:themeColor="text2"/>
          <w:sz w:val="22"/>
          <w:szCs w:val="22"/>
        </w:rPr>
        <w:t>30 ml/min/1.73m2)</w:t>
      </w:r>
      <w:r w:rsidR="00AA5E3D" w:rsidRPr="009B47C8">
        <w:rPr>
          <w:rFonts w:asciiTheme="majorHAnsi" w:hAnsiTheme="majorHAnsi" w:cs="Times"/>
          <w:color w:val="1F497D" w:themeColor="text2"/>
          <w:sz w:val="22"/>
          <w:szCs w:val="22"/>
        </w:rPr>
        <w:t xml:space="preserve"> and as such </w:t>
      </w:r>
      <w:r w:rsidR="00A46A42" w:rsidRPr="009B47C8">
        <w:rPr>
          <w:rFonts w:asciiTheme="majorHAnsi" w:hAnsiTheme="majorHAnsi" w:cs="Times"/>
          <w:color w:val="1F497D" w:themeColor="text2"/>
          <w:sz w:val="22"/>
          <w:szCs w:val="22"/>
        </w:rPr>
        <w:t>should be used with caution and a starting dose of 24mg/26mg twice daily is recommended</w:t>
      </w:r>
      <w:r w:rsidRPr="009B47C8">
        <w:rPr>
          <w:rFonts w:asciiTheme="majorHAnsi" w:hAnsiTheme="majorHAnsi" w:cs="Times"/>
          <w:color w:val="1F497D" w:themeColor="text2"/>
          <w:sz w:val="22"/>
          <w:szCs w:val="22"/>
        </w:rPr>
        <w:t xml:space="preserve">. There is no experience in patients with end-stage renal disease and use of </w:t>
      </w:r>
      <w:r w:rsidR="00AA5E3D" w:rsidRPr="009B47C8">
        <w:rPr>
          <w:rFonts w:asciiTheme="majorHAnsi" w:hAnsiTheme="majorHAnsi" w:cs="Times"/>
          <w:color w:val="1F497D" w:themeColor="text2"/>
          <w:sz w:val="22"/>
          <w:szCs w:val="22"/>
        </w:rPr>
        <w:t>sacubitril valsartan</w:t>
      </w:r>
      <w:r w:rsidRPr="009B47C8">
        <w:rPr>
          <w:rFonts w:asciiTheme="majorHAnsi" w:hAnsiTheme="majorHAnsi" w:cs="Times"/>
          <w:color w:val="1F497D" w:themeColor="text2"/>
          <w:sz w:val="22"/>
          <w:szCs w:val="22"/>
        </w:rPr>
        <w:t xml:space="preserve"> is not recommended.</w:t>
      </w:r>
    </w:p>
    <w:p w14:paraId="04BAE3FB" w14:textId="77777777" w:rsidR="00A04B05" w:rsidRPr="009B47C8" w:rsidRDefault="00A04B05" w:rsidP="009B47C8">
      <w:pPr>
        <w:pStyle w:val="ListParagraph"/>
        <w:widowControl w:val="0"/>
        <w:numPr>
          <w:ilvl w:val="0"/>
          <w:numId w:val="6"/>
        </w:numPr>
        <w:tabs>
          <w:tab w:val="left" w:pos="220"/>
          <w:tab w:val="left" w:pos="720"/>
        </w:tabs>
        <w:autoSpaceDE w:val="0"/>
        <w:autoSpaceDN w:val="0"/>
        <w:adjustRightInd w:val="0"/>
        <w:ind w:hanging="720"/>
        <w:rPr>
          <w:rFonts w:asciiTheme="majorHAnsi" w:hAnsiTheme="majorHAnsi" w:cs="Times"/>
          <w:sz w:val="16"/>
          <w:szCs w:val="16"/>
        </w:rPr>
      </w:pPr>
    </w:p>
    <w:p w14:paraId="10C8B408" w14:textId="77777777" w:rsidR="00A04B05" w:rsidRPr="00A04B05" w:rsidRDefault="00A04B05" w:rsidP="00271D53">
      <w:pPr>
        <w:widowControl w:val="0"/>
        <w:tabs>
          <w:tab w:val="left" w:pos="220"/>
          <w:tab w:val="left" w:pos="720"/>
        </w:tabs>
        <w:autoSpaceDE w:val="0"/>
        <w:autoSpaceDN w:val="0"/>
        <w:adjustRightInd w:val="0"/>
        <w:rPr>
          <w:rFonts w:ascii="Times" w:hAnsi="Times" w:cs="Times"/>
          <w:sz w:val="22"/>
          <w:szCs w:val="22"/>
        </w:rPr>
      </w:pPr>
      <w:r w:rsidRPr="009B47C8">
        <w:rPr>
          <w:rFonts w:asciiTheme="majorHAnsi" w:hAnsiTheme="majorHAnsi" w:cs="Calibri"/>
          <w:b/>
          <w:bCs/>
          <w:sz w:val="22"/>
          <w:szCs w:val="22"/>
        </w:rPr>
        <w:t>Maintenance and transfer to primary</w:t>
      </w:r>
      <w:r w:rsidRPr="00A04B05">
        <w:rPr>
          <w:rFonts w:ascii="Calibri" w:hAnsi="Calibri" w:cs="Calibri"/>
          <w:b/>
          <w:bCs/>
          <w:sz w:val="22"/>
          <w:szCs w:val="22"/>
        </w:rPr>
        <w:t xml:space="preserve"> care </w:t>
      </w:r>
    </w:p>
    <w:p w14:paraId="7EAF51F2" w14:textId="77777777" w:rsidR="00A04B05" w:rsidRPr="00271D53" w:rsidRDefault="00A04B05" w:rsidP="00271D53">
      <w:pPr>
        <w:pStyle w:val="ListParagraph"/>
        <w:widowControl w:val="0"/>
        <w:numPr>
          <w:ilvl w:val="0"/>
          <w:numId w:val="20"/>
        </w:numPr>
        <w:tabs>
          <w:tab w:val="left" w:pos="220"/>
          <w:tab w:val="left" w:pos="720"/>
        </w:tabs>
        <w:autoSpaceDE w:val="0"/>
        <w:autoSpaceDN w:val="0"/>
        <w:adjustRightInd w:val="0"/>
        <w:rPr>
          <w:rFonts w:ascii="Times" w:hAnsi="Times" w:cs="Times"/>
          <w:sz w:val="22"/>
          <w:szCs w:val="22"/>
        </w:rPr>
      </w:pPr>
      <w:r w:rsidRPr="00271D53">
        <w:rPr>
          <w:rFonts w:ascii="Calibri" w:hAnsi="Calibri" w:cs="Calibri"/>
          <w:sz w:val="22"/>
          <w:szCs w:val="22"/>
        </w:rPr>
        <w:t xml:space="preserve">Following titration to optimum tolerated dose, maintenance will be continued in primary care. </w:t>
      </w:r>
    </w:p>
    <w:p w14:paraId="26E7B637" w14:textId="77777777" w:rsidR="00A04B05" w:rsidRPr="00271D53" w:rsidRDefault="00A04B05" w:rsidP="00271D53">
      <w:pPr>
        <w:pStyle w:val="ListParagraph"/>
        <w:widowControl w:val="0"/>
        <w:numPr>
          <w:ilvl w:val="0"/>
          <w:numId w:val="20"/>
        </w:numPr>
        <w:tabs>
          <w:tab w:val="left" w:pos="220"/>
          <w:tab w:val="left" w:pos="720"/>
        </w:tabs>
        <w:autoSpaceDE w:val="0"/>
        <w:autoSpaceDN w:val="0"/>
        <w:adjustRightInd w:val="0"/>
        <w:rPr>
          <w:rFonts w:ascii="Times" w:hAnsi="Times" w:cs="Times"/>
          <w:sz w:val="22"/>
          <w:szCs w:val="22"/>
        </w:rPr>
      </w:pPr>
      <w:r w:rsidRPr="00271D53">
        <w:rPr>
          <w:rFonts w:ascii="Calibri" w:hAnsi="Calibri" w:cs="Calibri"/>
          <w:sz w:val="22"/>
          <w:szCs w:val="22"/>
        </w:rPr>
        <w:t xml:space="preserve">Ongoing monitoring of urea and electrolytes (as in NICE </w:t>
      </w:r>
      <w:r w:rsidR="00241AF7" w:rsidRPr="00271D53">
        <w:rPr>
          <w:rFonts w:ascii="Calibri" w:hAnsi="Calibri" w:cs="Calibri"/>
          <w:sz w:val="22"/>
          <w:szCs w:val="22"/>
        </w:rPr>
        <w:t xml:space="preserve">NG </w:t>
      </w:r>
      <w:r w:rsidRPr="00271D53">
        <w:rPr>
          <w:rFonts w:ascii="Calibri" w:hAnsi="Calibri" w:cs="Calibri"/>
          <w:sz w:val="22"/>
          <w:szCs w:val="22"/>
        </w:rPr>
        <w:t>10</w:t>
      </w:r>
      <w:r w:rsidR="00241AF7" w:rsidRPr="00271D53">
        <w:rPr>
          <w:rFonts w:ascii="Calibri" w:hAnsi="Calibri" w:cs="Calibri"/>
          <w:sz w:val="22"/>
          <w:szCs w:val="22"/>
        </w:rPr>
        <w:t>6</w:t>
      </w:r>
      <w:r w:rsidRPr="00271D53">
        <w:rPr>
          <w:rFonts w:ascii="Calibri" w:hAnsi="Calibri" w:cs="Calibri"/>
          <w:sz w:val="22"/>
          <w:szCs w:val="22"/>
        </w:rPr>
        <w:t xml:space="preserve">) every 6 months should be sufficient to monitor renal effects of sacubitril valsartan. </w:t>
      </w:r>
    </w:p>
    <w:p w14:paraId="224614DA" w14:textId="77777777" w:rsidR="00271D53" w:rsidRPr="00271D53" w:rsidRDefault="00A04B05" w:rsidP="00271D53">
      <w:pPr>
        <w:pStyle w:val="ListParagraph"/>
        <w:widowControl w:val="0"/>
        <w:numPr>
          <w:ilvl w:val="0"/>
          <w:numId w:val="20"/>
        </w:numPr>
        <w:tabs>
          <w:tab w:val="left" w:pos="220"/>
          <w:tab w:val="left" w:pos="720"/>
        </w:tabs>
        <w:autoSpaceDE w:val="0"/>
        <w:autoSpaceDN w:val="0"/>
        <w:adjustRightInd w:val="0"/>
        <w:rPr>
          <w:rFonts w:ascii="Times" w:hAnsi="Times" w:cs="Times"/>
          <w:sz w:val="22"/>
          <w:szCs w:val="22"/>
        </w:rPr>
      </w:pPr>
      <w:r w:rsidRPr="00271D53">
        <w:rPr>
          <w:rFonts w:ascii="Calibri" w:hAnsi="Calibri" w:cs="Calibri"/>
          <w:sz w:val="22"/>
          <w:szCs w:val="22"/>
        </w:rPr>
        <w:t xml:space="preserve">A </w:t>
      </w:r>
      <w:r w:rsidR="00241AF7" w:rsidRPr="00271D53">
        <w:rPr>
          <w:rFonts w:ascii="Calibri" w:hAnsi="Calibri" w:cs="Calibri"/>
          <w:sz w:val="22"/>
          <w:szCs w:val="22"/>
        </w:rPr>
        <w:t>f</w:t>
      </w:r>
      <w:r w:rsidRPr="00271D53">
        <w:rPr>
          <w:rFonts w:ascii="Calibri" w:hAnsi="Calibri" w:cs="Calibri"/>
          <w:sz w:val="22"/>
          <w:szCs w:val="22"/>
        </w:rPr>
        <w:t>actsheet have been prepared to support primary care practitioners in prescribing sacubitril valsartan and will facilitate a seamless transition to primary care.</w:t>
      </w:r>
    </w:p>
    <w:p w14:paraId="759AC3DD" w14:textId="77777777" w:rsidR="00A04B05" w:rsidRPr="00271D53" w:rsidRDefault="00A04B05" w:rsidP="00271D53">
      <w:pPr>
        <w:pStyle w:val="ListParagraph"/>
        <w:widowControl w:val="0"/>
        <w:numPr>
          <w:ilvl w:val="0"/>
          <w:numId w:val="20"/>
        </w:numPr>
        <w:tabs>
          <w:tab w:val="left" w:pos="220"/>
          <w:tab w:val="left" w:pos="720"/>
        </w:tabs>
        <w:autoSpaceDE w:val="0"/>
        <w:autoSpaceDN w:val="0"/>
        <w:adjustRightInd w:val="0"/>
        <w:rPr>
          <w:rFonts w:ascii="Times" w:hAnsi="Times" w:cs="Times"/>
          <w:sz w:val="22"/>
          <w:szCs w:val="22"/>
        </w:rPr>
      </w:pPr>
      <w:r w:rsidRPr="00271D53">
        <w:rPr>
          <w:rFonts w:ascii="Calibri" w:hAnsi="Calibri" w:cs="Calibri"/>
          <w:sz w:val="22"/>
          <w:szCs w:val="22"/>
        </w:rPr>
        <w:t>CCG commissioned community heart failure services would be expected to play a key role in facilitating an integrated care approach, in accordance with local guidelines.</w:t>
      </w:r>
    </w:p>
    <w:p w14:paraId="4D58D8DD" w14:textId="77777777" w:rsidR="00A04B05" w:rsidRPr="006D45F4" w:rsidRDefault="00A04B05" w:rsidP="00A04B05">
      <w:pPr>
        <w:widowControl w:val="0"/>
        <w:autoSpaceDE w:val="0"/>
        <w:autoSpaceDN w:val="0"/>
        <w:adjustRightInd w:val="0"/>
        <w:rPr>
          <w:rFonts w:ascii="Calibri" w:hAnsi="Calibri" w:cs="Calibri"/>
          <w:b/>
          <w:bCs/>
          <w:sz w:val="16"/>
          <w:szCs w:val="16"/>
        </w:rPr>
      </w:pPr>
    </w:p>
    <w:p w14:paraId="64847F8F" w14:textId="77777777" w:rsidR="00A04B05" w:rsidRPr="00A04B05" w:rsidRDefault="00A04B05" w:rsidP="00A04B05">
      <w:pPr>
        <w:widowControl w:val="0"/>
        <w:autoSpaceDE w:val="0"/>
        <w:autoSpaceDN w:val="0"/>
        <w:adjustRightInd w:val="0"/>
        <w:rPr>
          <w:rFonts w:ascii="Times" w:hAnsi="Times" w:cs="Times"/>
          <w:sz w:val="22"/>
          <w:szCs w:val="22"/>
        </w:rPr>
      </w:pPr>
      <w:r w:rsidRPr="00A04B05">
        <w:rPr>
          <w:rFonts w:ascii="Calibri" w:hAnsi="Calibri" w:cs="Calibri"/>
          <w:b/>
          <w:bCs/>
          <w:sz w:val="22"/>
          <w:szCs w:val="22"/>
        </w:rPr>
        <w:t>Patient support and information</w:t>
      </w:r>
    </w:p>
    <w:p w14:paraId="4A1E72A8" w14:textId="77777777" w:rsidR="00A04B05" w:rsidRPr="00271D53" w:rsidRDefault="00A04B05" w:rsidP="00271D53">
      <w:pPr>
        <w:pStyle w:val="ListParagraph"/>
        <w:widowControl w:val="0"/>
        <w:numPr>
          <w:ilvl w:val="0"/>
          <w:numId w:val="21"/>
        </w:numPr>
        <w:tabs>
          <w:tab w:val="left" w:pos="220"/>
          <w:tab w:val="left" w:pos="720"/>
        </w:tabs>
        <w:autoSpaceDE w:val="0"/>
        <w:autoSpaceDN w:val="0"/>
        <w:adjustRightInd w:val="0"/>
        <w:rPr>
          <w:rFonts w:ascii="Times" w:hAnsi="Times" w:cs="Times"/>
          <w:sz w:val="22"/>
          <w:szCs w:val="22"/>
        </w:rPr>
      </w:pPr>
      <w:r w:rsidRPr="00271D53">
        <w:rPr>
          <w:rFonts w:ascii="Calibri" w:hAnsi="Calibri" w:cs="Calibri"/>
          <w:sz w:val="22"/>
          <w:szCs w:val="22"/>
        </w:rPr>
        <w:t xml:space="preserve">A patient information leaflet (Appendix 4) can be offered to patients to support treatment initiation of sacubitril valsartan therapy. Additionally, it will detail instructions to avoid concomitant ACEi and confirm advice for patients during sick days. </w:t>
      </w:r>
    </w:p>
    <w:p w14:paraId="0D216B7B" w14:textId="77777777" w:rsidR="00A04B05" w:rsidRPr="00271D53" w:rsidRDefault="00A04B05" w:rsidP="00271D53">
      <w:pPr>
        <w:pStyle w:val="ListParagraph"/>
        <w:widowControl w:val="0"/>
        <w:numPr>
          <w:ilvl w:val="0"/>
          <w:numId w:val="21"/>
        </w:numPr>
        <w:tabs>
          <w:tab w:val="left" w:pos="220"/>
          <w:tab w:val="left" w:pos="720"/>
        </w:tabs>
        <w:autoSpaceDE w:val="0"/>
        <w:autoSpaceDN w:val="0"/>
        <w:adjustRightInd w:val="0"/>
        <w:rPr>
          <w:rFonts w:ascii="Times" w:hAnsi="Times" w:cs="Times"/>
          <w:sz w:val="22"/>
          <w:szCs w:val="22"/>
        </w:rPr>
      </w:pPr>
      <w:r w:rsidRPr="00271D53">
        <w:rPr>
          <w:rFonts w:ascii="Calibri" w:hAnsi="Calibri" w:cs="Calibri"/>
          <w:sz w:val="22"/>
          <w:szCs w:val="22"/>
        </w:rPr>
        <w:t xml:space="preserve">There should be an amnesty to encourage patients to bring all ACEi and ARB to clinic/pharmacy for destruction to prevent inadvertent consumption while taking sacubitril valsartan </w:t>
      </w:r>
    </w:p>
    <w:p w14:paraId="5624F5FE" w14:textId="77777777" w:rsidR="00A04B05" w:rsidRPr="00271D53" w:rsidRDefault="00A04B05" w:rsidP="00271D53">
      <w:pPr>
        <w:pStyle w:val="ListParagraph"/>
        <w:widowControl w:val="0"/>
        <w:numPr>
          <w:ilvl w:val="0"/>
          <w:numId w:val="21"/>
        </w:numPr>
        <w:tabs>
          <w:tab w:val="left" w:pos="220"/>
          <w:tab w:val="left" w:pos="720"/>
        </w:tabs>
        <w:autoSpaceDE w:val="0"/>
        <w:autoSpaceDN w:val="0"/>
        <w:adjustRightInd w:val="0"/>
        <w:rPr>
          <w:rFonts w:ascii="Times" w:hAnsi="Times" w:cs="Times"/>
          <w:sz w:val="22"/>
          <w:szCs w:val="22"/>
        </w:rPr>
      </w:pPr>
      <w:r w:rsidRPr="00271D53">
        <w:rPr>
          <w:rFonts w:ascii="Calibri" w:hAnsi="Calibri" w:cs="Calibri"/>
          <w:sz w:val="22"/>
          <w:szCs w:val="22"/>
        </w:rPr>
        <w:t xml:space="preserve">Novartis has developed a wallet sized cards for patients to carry that can be shown to health care professionals to alert them to the interactions of sacubitril valsartan and ACEi. </w:t>
      </w:r>
    </w:p>
    <w:p w14:paraId="62FE06D6" w14:textId="77777777" w:rsidR="00A04B05" w:rsidRPr="006D45F4" w:rsidRDefault="00A04B05" w:rsidP="00A04B05">
      <w:pPr>
        <w:widowControl w:val="0"/>
        <w:numPr>
          <w:ilvl w:val="0"/>
          <w:numId w:val="8"/>
        </w:numPr>
        <w:tabs>
          <w:tab w:val="left" w:pos="220"/>
          <w:tab w:val="left" w:pos="720"/>
        </w:tabs>
        <w:autoSpaceDE w:val="0"/>
        <w:autoSpaceDN w:val="0"/>
        <w:adjustRightInd w:val="0"/>
        <w:ind w:hanging="720"/>
        <w:rPr>
          <w:rFonts w:ascii="Times" w:hAnsi="Times" w:cs="Times"/>
          <w:sz w:val="16"/>
          <w:szCs w:val="16"/>
        </w:rPr>
      </w:pPr>
    </w:p>
    <w:p w14:paraId="4659195B" w14:textId="77777777" w:rsidR="00A04B05" w:rsidRPr="00A04B05" w:rsidRDefault="00A04B05" w:rsidP="00271D53">
      <w:pPr>
        <w:widowControl w:val="0"/>
        <w:tabs>
          <w:tab w:val="left" w:pos="220"/>
          <w:tab w:val="left" w:pos="720"/>
        </w:tabs>
        <w:autoSpaceDE w:val="0"/>
        <w:autoSpaceDN w:val="0"/>
        <w:adjustRightInd w:val="0"/>
        <w:rPr>
          <w:rFonts w:ascii="Times" w:hAnsi="Times" w:cs="Times"/>
          <w:sz w:val="22"/>
          <w:szCs w:val="22"/>
        </w:rPr>
      </w:pPr>
      <w:r w:rsidRPr="00A04B05">
        <w:rPr>
          <w:rFonts w:ascii="Calibri" w:hAnsi="Calibri" w:cs="Calibri"/>
          <w:b/>
          <w:bCs/>
          <w:sz w:val="22"/>
          <w:szCs w:val="22"/>
        </w:rPr>
        <w:t xml:space="preserve">References </w:t>
      </w:r>
    </w:p>
    <w:p w14:paraId="632E9B30" w14:textId="4F8AAAEE" w:rsidR="00A04B05" w:rsidRPr="00271D53" w:rsidRDefault="00A04B05" w:rsidP="00271D53">
      <w:pPr>
        <w:pStyle w:val="ListParagraph"/>
        <w:widowControl w:val="0"/>
        <w:numPr>
          <w:ilvl w:val="0"/>
          <w:numId w:val="22"/>
        </w:numPr>
        <w:tabs>
          <w:tab w:val="left" w:pos="220"/>
          <w:tab w:val="left" w:pos="720"/>
        </w:tabs>
        <w:autoSpaceDE w:val="0"/>
        <w:autoSpaceDN w:val="0"/>
        <w:adjustRightInd w:val="0"/>
        <w:rPr>
          <w:rFonts w:ascii="Times" w:hAnsi="Times" w:cs="Times"/>
          <w:sz w:val="22"/>
          <w:szCs w:val="22"/>
        </w:rPr>
      </w:pPr>
      <w:r w:rsidRPr="00271D53">
        <w:rPr>
          <w:rFonts w:ascii="Calibri" w:hAnsi="Calibri" w:cs="Calibri"/>
          <w:sz w:val="22"/>
          <w:szCs w:val="22"/>
        </w:rPr>
        <w:t>Chronic heart failure</w:t>
      </w:r>
      <w:r w:rsidR="00241AF7" w:rsidRPr="00271D53">
        <w:rPr>
          <w:rFonts w:ascii="Calibri" w:hAnsi="Calibri" w:cs="Calibri"/>
          <w:sz w:val="22"/>
          <w:szCs w:val="22"/>
        </w:rPr>
        <w:t xml:space="preserve"> in adults: Diagnosis and management</w:t>
      </w:r>
      <w:r w:rsidRPr="00271D53">
        <w:rPr>
          <w:rFonts w:ascii="Calibri" w:hAnsi="Calibri" w:cs="Calibri"/>
          <w:sz w:val="22"/>
          <w:szCs w:val="22"/>
        </w:rPr>
        <w:t>. NICE guideline 10</w:t>
      </w:r>
      <w:r w:rsidR="00241AF7" w:rsidRPr="00271D53">
        <w:rPr>
          <w:rFonts w:ascii="Calibri" w:hAnsi="Calibri" w:cs="Calibri"/>
          <w:sz w:val="22"/>
          <w:szCs w:val="22"/>
        </w:rPr>
        <w:t>6</w:t>
      </w:r>
      <w:r w:rsidRPr="00271D53">
        <w:rPr>
          <w:rFonts w:ascii="Calibri" w:hAnsi="Calibri" w:cs="Calibri"/>
          <w:sz w:val="22"/>
          <w:szCs w:val="22"/>
        </w:rPr>
        <w:t xml:space="preserve"> (</w:t>
      </w:r>
      <w:r w:rsidR="00222E65">
        <w:rPr>
          <w:rFonts w:ascii="Calibri" w:hAnsi="Calibri" w:cs="Calibri"/>
          <w:sz w:val="22"/>
          <w:szCs w:val="22"/>
        </w:rPr>
        <w:t>September 2018</w:t>
      </w:r>
      <w:r w:rsidRPr="00271D53">
        <w:rPr>
          <w:rFonts w:ascii="Calibri" w:hAnsi="Calibri" w:cs="Calibri"/>
          <w:sz w:val="22"/>
          <w:szCs w:val="22"/>
        </w:rPr>
        <w:t xml:space="preserve">). </w:t>
      </w:r>
    </w:p>
    <w:p w14:paraId="0E046632" w14:textId="77777777" w:rsidR="00A04B05" w:rsidRPr="00271D53" w:rsidRDefault="00A04B05" w:rsidP="00271D53">
      <w:pPr>
        <w:pStyle w:val="ListParagraph"/>
        <w:widowControl w:val="0"/>
        <w:numPr>
          <w:ilvl w:val="0"/>
          <w:numId w:val="22"/>
        </w:numPr>
        <w:tabs>
          <w:tab w:val="left" w:pos="220"/>
          <w:tab w:val="left" w:pos="720"/>
        </w:tabs>
        <w:autoSpaceDE w:val="0"/>
        <w:autoSpaceDN w:val="0"/>
        <w:adjustRightInd w:val="0"/>
        <w:rPr>
          <w:rFonts w:ascii="Times" w:hAnsi="Times" w:cs="Times"/>
          <w:sz w:val="22"/>
          <w:szCs w:val="22"/>
        </w:rPr>
      </w:pPr>
      <w:r w:rsidRPr="00271D53">
        <w:rPr>
          <w:rFonts w:ascii="Calibri" w:hAnsi="Calibri" w:cs="Calibri"/>
          <w:sz w:val="22"/>
          <w:szCs w:val="22"/>
        </w:rPr>
        <w:t xml:space="preserve">Ivabradine for treating chronic heart failure. NICE technology appraisal guidance no. 267 (2012). </w:t>
      </w:r>
    </w:p>
    <w:p w14:paraId="59D132E7" w14:textId="14FC21F0" w:rsidR="00A04B05" w:rsidRPr="00271D53" w:rsidRDefault="00A04B05" w:rsidP="00271D53">
      <w:pPr>
        <w:pStyle w:val="ListParagraph"/>
        <w:widowControl w:val="0"/>
        <w:numPr>
          <w:ilvl w:val="0"/>
          <w:numId w:val="22"/>
        </w:numPr>
        <w:tabs>
          <w:tab w:val="left" w:pos="220"/>
          <w:tab w:val="left" w:pos="720"/>
        </w:tabs>
        <w:autoSpaceDE w:val="0"/>
        <w:autoSpaceDN w:val="0"/>
        <w:adjustRightInd w:val="0"/>
        <w:rPr>
          <w:rFonts w:ascii="Times" w:hAnsi="Times" w:cs="Times"/>
          <w:sz w:val="22"/>
          <w:szCs w:val="22"/>
        </w:rPr>
      </w:pPr>
      <w:r w:rsidRPr="00271D53">
        <w:rPr>
          <w:rFonts w:ascii="Calibri" w:hAnsi="Calibri" w:cs="Calibri"/>
          <w:sz w:val="22"/>
          <w:szCs w:val="22"/>
        </w:rPr>
        <w:t>Implantable cardioverter defibrillators and cardiac resynchronisation therapy for arrhythmias and heart failure. NICE technology ap</w:t>
      </w:r>
      <w:r w:rsidR="00A239A3">
        <w:rPr>
          <w:rFonts w:ascii="Calibri" w:hAnsi="Calibri" w:cs="Calibri"/>
          <w:sz w:val="22"/>
          <w:szCs w:val="22"/>
        </w:rPr>
        <w:t>praisal guidance no. 314 (2014)</w:t>
      </w:r>
      <w:r w:rsidRPr="00271D53">
        <w:rPr>
          <w:rFonts w:ascii="Calibri" w:hAnsi="Calibri" w:cs="Calibri"/>
          <w:sz w:val="22"/>
          <w:szCs w:val="22"/>
        </w:rPr>
        <w:t xml:space="preserve">. </w:t>
      </w:r>
    </w:p>
    <w:p w14:paraId="499A9E3C" w14:textId="77777777" w:rsidR="00A04B05" w:rsidRPr="00271D53" w:rsidRDefault="00A04B05" w:rsidP="00271D53">
      <w:pPr>
        <w:pStyle w:val="ListParagraph"/>
        <w:widowControl w:val="0"/>
        <w:numPr>
          <w:ilvl w:val="0"/>
          <w:numId w:val="22"/>
        </w:numPr>
        <w:tabs>
          <w:tab w:val="left" w:pos="220"/>
          <w:tab w:val="left" w:pos="720"/>
        </w:tabs>
        <w:autoSpaceDE w:val="0"/>
        <w:autoSpaceDN w:val="0"/>
        <w:adjustRightInd w:val="0"/>
        <w:rPr>
          <w:rFonts w:ascii="Times" w:hAnsi="Times" w:cs="Times"/>
          <w:sz w:val="22"/>
          <w:szCs w:val="22"/>
        </w:rPr>
      </w:pPr>
      <w:r w:rsidRPr="00271D53">
        <w:rPr>
          <w:rFonts w:ascii="Calibri" w:hAnsi="Calibri" w:cs="Calibri"/>
          <w:sz w:val="22"/>
          <w:szCs w:val="22"/>
        </w:rPr>
        <w:lastRenderedPageBreak/>
        <w:t xml:space="preserve">Insertion and use of implantable pulmonary artery pressure monitors in chronic heart failure. NICE interventional procedure guidance 463 (2013). </w:t>
      </w:r>
    </w:p>
    <w:p w14:paraId="4BB5473A" w14:textId="77777777" w:rsidR="00A04B05" w:rsidRPr="00271D53" w:rsidRDefault="00A04B05" w:rsidP="00271D53">
      <w:pPr>
        <w:pStyle w:val="ListParagraph"/>
        <w:widowControl w:val="0"/>
        <w:numPr>
          <w:ilvl w:val="0"/>
          <w:numId w:val="22"/>
        </w:numPr>
        <w:tabs>
          <w:tab w:val="left" w:pos="220"/>
          <w:tab w:val="left" w:pos="720"/>
        </w:tabs>
        <w:autoSpaceDE w:val="0"/>
        <w:autoSpaceDN w:val="0"/>
        <w:adjustRightInd w:val="0"/>
        <w:rPr>
          <w:rFonts w:ascii="Times" w:hAnsi="Times" w:cs="Times"/>
          <w:sz w:val="22"/>
          <w:szCs w:val="22"/>
        </w:rPr>
      </w:pPr>
      <w:r w:rsidRPr="00271D53">
        <w:rPr>
          <w:rFonts w:ascii="Calibri" w:hAnsi="Calibri" w:cs="Calibri"/>
          <w:sz w:val="22"/>
          <w:szCs w:val="22"/>
        </w:rPr>
        <w:t xml:space="preserve">Sacubitril valsartan for treating symptomatic chronic heart failure with reduced ejection fraction. NICE technology appraisal guidance no. 388 (2016). </w:t>
      </w:r>
    </w:p>
    <w:p w14:paraId="047A5756" w14:textId="77777777" w:rsidR="00A04B05" w:rsidRPr="00271D53" w:rsidRDefault="00A04B05" w:rsidP="00271D53">
      <w:pPr>
        <w:pStyle w:val="ListParagraph"/>
        <w:widowControl w:val="0"/>
        <w:numPr>
          <w:ilvl w:val="0"/>
          <w:numId w:val="22"/>
        </w:numPr>
        <w:tabs>
          <w:tab w:val="left" w:pos="220"/>
          <w:tab w:val="left" w:pos="720"/>
        </w:tabs>
        <w:autoSpaceDE w:val="0"/>
        <w:autoSpaceDN w:val="0"/>
        <w:adjustRightInd w:val="0"/>
        <w:rPr>
          <w:rFonts w:ascii="Times" w:hAnsi="Times" w:cs="Times"/>
          <w:sz w:val="22"/>
          <w:szCs w:val="22"/>
        </w:rPr>
      </w:pPr>
      <w:r w:rsidRPr="00271D53">
        <w:rPr>
          <w:rFonts w:ascii="Calibri" w:hAnsi="Calibri" w:cs="Calibri"/>
          <w:sz w:val="22"/>
          <w:szCs w:val="22"/>
        </w:rPr>
        <w:t xml:space="preserve">Ponikowski P, Voors AA, Anker SD et al. 2016 ESC Guidelines for the diagnosis and treatment of acute and chronic heart failure, available at doi:10.1093/eurheartj/ehw128. </w:t>
      </w:r>
    </w:p>
    <w:p w14:paraId="64753ADB" w14:textId="77777777" w:rsidR="00A04B05" w:rsidRPr="00220F81" w:rsidRDefault="00A04B05" w:rsidP="00271D53">
      <w:pPr>
        <w:pStyle w:val="ListParagraph"/>
        <w:widowControl w:val="0"/>
        <w:numPr>
          <w:ilvl w:val="0"/>
          <w:numId w:val="22"/>
        </w:numPr>
        <w:tabs>
          <w:tab w:val="left" w:pos="220"/>
          <w:tab w:val="left" w:pos="720"/>
        </w:tabs>
        <w:autoSpaceDE w:val="0"/>
        <w:autoSpaceDN w:val="0"/>
        <w:adjustRightInd w:val="0"/>
        <w:rPr>
          <w:rFonts w:ascii="Times" w:hAnsi="Times" w:cs="Times"/>
          <w:sz w:val="22"/>
          <w:szCs w:val="22"/>
        </w:rPr>
      </w:pPr>
      <w:r w:rsidRPr="00271D53">
        <w:rPr>
          <w:rFonts w:ascii="Calibri" w:hAnsi="Calibri" w:cs="Calibri"/>
          <w:sz w:val="22"/>
          <w:szCs w:val="22"/>
        </w:rPr>
        <w:t>McMurray JJV, Packer M, Desai AS et al. Angiotensin-neprilysin inhibition versus enalapril in heart failure. N Eng J Med 2014; 371:993-1005.</w:t>
      </w:r>
    </w:p>
    <w:p w14:paraId="6D862E35" w14:textId="77777777" w:rsidR="00220F81" w:rsidRPr="00271D53" w:rsidRDefault="00220F81" w:rsidP="00220F81">
      <w:pPr>
        <w:pStyle w:val="ListParagraph"/>
        <w:widowControl w:val="0"/>
        <w:tabs>
          <w:tab w:val="left" w:pos="220"/>
          <w:tab w:val="left" w:pos="720"/>
        </w:tabs>
        <w:autoSpaceDE w:val="0"/>
        <w:autoSpaceDN w:val="0"/>
        <w:adjustRightInd w:val="0"/>
        <w:rPr>
          <w:rFonts w:ascii="Times" w:hAnsi="Times" w:cs="Times"/>
          <w:sz w:val="22"/>
          <w:szCs w:val="22"/>
        </w:rPr>
      </w:pPr>
    </w:p>
    <w:p w14:paraId="7963E500" w14:textId="0F3C3ACA" w:rsidR="00A04B05" w:rsidRDefault="00834865" w:rsidP="00A04B05">
      <w:pPr>
        <w:widowControl w:val="0"/>
        <w:autoSpaceDE w:val="0"/>
        <w:autoSpaceDN w:val="0"/>
        <w:adjustRightInd w:val="0"/>
        <w:rPr>
          <w:rFonts w:ascii="Calibri" w:hAnsi="Calibri" w:cs="Calibri"/>
          <w:i/>
          <w:sz w:val="22"/>
          <w:szCs w:val="22"/>
        </w:rPr>
      </w:pPr>
      <w:r w:rsidRPr="009B0BC9">
        <w:rPr>
          <w:rFonts w:ascii="Calibri" w:hAnsi="Calibri" w:cs="Calibri"/>
          <w:bCs/>
          <w:i/>
          <w:sz w:val="22"/>
          <w:szCs w:val="22"/>
        </w:rPr>
        <w:t>[</w:t>
      </w:r>
      <w:r w:rsidR="00A40DDB" w:rsidRPr="009B0BC9">
        <w:rPr>
          <w:rFonts w:ascii="Calibri" w:hAnsi="Calibri" w:cs="Calibri"/>
          <w:bCs/>
          <w:i/>
          <w:sz w:val="22"/>
          <w:szCs w:val="22"/>
        </w:rPr>
        <w:t>(</w:t>
      </w:r>
      <w:r w:rsidR="00A04B05" w:rsidRPr="009B0BC9">
        <w:rPr>
          <w:rFonts w:ascii="Calibri" w:hAnsi="Calibri" w:cs="Calibri"/>
          <w:bCs/>
          <w:i/>
          <w:sz w:val="22"/>
          <w:szCs w:val="22"/>
        </w:rPr>
        <w:t>Contributors</w:t>
      </w:r>
      <w:r w:rsidR="00A40DDB" w:rsidRPr="009B0BC9">
        <w:rPr>
          <w:rFonts w:ascii="Calibri" w:hAnsi="Calibri" w:cs="Calibri"/>
          <w:bCs/>
          <w:i/>
          <w:sz w:val="22"/>
          <w:szCs w:val="22"/>
        </w:rPr>
        <w:t xml:space="preserve"> to Version 1 of the Position P</w:t>
      </w:r>
      <w:r w:rsidRPr="009B0BC9">
        <w:rPr>
          <w:rFonts w:ascii="Calibri" w:hAnsi="Calibri" w:cs="Calibri"/>
          <w:bCs/>
          <w:i/>
          <w:sz w:val="22"/>
          <w:szCs w:val="22"/>
        </w:rPr>
        <w:t>aper (June 2016</w:t>
      </w:r>
      <w:r w:rsidR="00A40DDB" w:rsidRPr="009B0BC9">
        <w:rPr>
          <w:rFonts w:ascii="Calibri" w:hAnsi="Calibri" w:cs="Calibri"/>
          <w:bCs/>
          <w:i/>
          <w:sz w:val="22"/>
          <w:szCs w:val="22"/>
        </w:rPr>
        <w:t>)</w:t>
      </w:r>
      <w:r w:rsidR="009B0BC9" w:rsidRPr="009B0BC9">
        <w:rPr>
          <w:rFonts w:ascii="Calibri" w:hAnsi="Calibri" w:cs="Calibri"/>
          <w:i/>
          <w:sz w:val="22"/>
          <w:szCs w:val="22"/>
        </w:rPr>
        <w:t xml:space="preserve"> </w:t>
      </w:r>
      <w:r w:rsidR="00A04B05" w:rsidRPr="009B0BC9">
        <w:rPr>
          <w:rFonts w:ascii="Calibri" w:hAnsi="Calibri" w:cs="Calibri"/>
          <w:i/>
          <w:sz w:val="22"/>
          <w:szCs w:val="22"/>
        </w:rPr>
        <w:t>B Amadasun, Dr H Amer,</w:t>
      </w:r>
      <w:r w:rsidR="00A239A3">
        <w:rPr>
          <w:rFonts w:ascii="Calibri" w:hAnsi="Calibri" w:cs="Calibri"/>
          <w:i/>
          <w:sz w:val="22"/>
          <w:szCs w:val="22"/>
        </w:rPr>
        <w:t xml:space="preserve"> </w:t>
      </w:r>
      <w:r w:rsidR="00A04B05" w:rsidRPr="009B0BC9">
        <w:rPr>
          <w:rFonts w:ascii="Calibri" w:hAnsi="Calibri" w:cs="Calibri"/>
          <w:i/>
          <w:sz w:val="22"/>
          <w:szCs w:val="22"/>
        </w:rPr>
        <w:t>S Antoniou,</w:t>
      </w:r>
      <w:r w:rsidR="009B0BC9" w:rsidRPr="009B0BC9">
        <w:rPr>
          <w:rFonts w:ascii="Calibri" w:hAnsi="Calibri" w:cs="Calibri"/>
          <w:i/>
          <w:sz w:val="22"/>
          <w:szCs w:val="22"/>
        </w:rPr>
        <w:t xml:space="preserve"> </w:t>
      </w:r>
      <w:r w:rsidR="00A04B05" w:rsidRPr="009B0BC9">
        <w:rPr>
          <w:rFonts w:ascii="Calibri" w:hAnsi="Calibri" w:cs="Calibri"/>
          <w:i/>
          <w:sz w:val="22"/>
          <w:szCs w:val="22"/>
        </w:rPr>
        <w:t>A Barron,</w:t>
      </w:r>
      <w:r w:rsidR="00A239A3">
        <w:rPr>
          <w:rFonts w:ascii="Calibri" w:hAnsi="Calibri" w:cs="Calibri"/>
          <w:i/>
          <w:sz w:val="22"/>
          <w:szCs w:val="22"/>
        </w:rPr>
        <w:t xml:space="preserve"> </w:t>
      </w:r>
      <w:r w:rsidR="00A04B05" w:rsidRPr="009B0BC9">
        <w:rPr>
          <w:rFonts w:ascii="Calibri" w:hAnsi="Calibri" w:cs="Calibri"/>
          <w:i/>
          <w:sz w:val="22"/>
          <w:szCs w:val="22"/>
        </w:rPr>
        <w:t>Dr A Bakhai*,</w:t>
      </w:r>
      <w:r w:rsidR="009B0BC9" w:rsidRPr="009B0BC9">
        <w:rPr>
          <w:rFonts w:ascii="Calibri" w:hAnsi="Calibri" w:cs="Calibri"/>
          <w:i/>
          <w:sz w:val="22"/>
          <w:szCs w:val="22"/>
        </w:rPr>
        <w:t>R</w:t>
      </w:r>
      <w:r w:rsidR="00A04B05" w:rsidRPr="009B0BC9">
        <w:rPr>
          <w:rFonts w:ascii="Calibri" w:hAnsi="Calibri" w:cs="Calibri"/>
          <w:i/>
          <w:sz w:val="22"/>
          <w:szCs w:val="22"/>
        </w:rPr>
        <w:t xml:space="preserve"> Carter,</w:t>
      </w:r>
      <w:r w:rsidR="00A239A3">
        <w:rPr>
          <w:rFonts w:ascii="Calibri" w:hAnsi="Calibri" w:cs="Calibri"/>
          <w:i/>
          <w:sz w:val="22"/>
          <w:szCs w:val="22"/>
        </w:rPr>
        <w:t xml:space="preserve"> </w:t>
      </w:r>
      <w:r w:rsidR="00A04B05" w:rsidRPr="009B0BC9">
        <w:rPr>
          <w:rFonts w:ascii="Calibri" w:hAnsi="Calibri" w:cs="Calibri"/>
          <w:i/>
          <w:sz w:val="22"/>
          <w:szCs w:val="22"/>
        </w:rPr>
        <w:t>Dr C Davis,</w:t>
      </w:r>
      <w:r w:rsidR="00A239A3">
        <w:rPr>
          <w:rFonts w:ascii="Calibri" w:hAnsi="Calibri" w:cs="Calibri"/>
          <w:i/>
          <w:sz w:val="22"/>
          <w:szCs w:val="22"/>
        </w:rPr>
        <w:t xml:space="preserve"> </w:t>
      </w:r>
      <w:r w:rsidR="009B0BC9" w:rsidRPr="009B0BC9">
        <w:rPr>
          <w:rFonts w:ascii="Calibri" w:hAnsi="Calibri" w:cs="Calibri"/>
          <w:i/>
          <w:sz w:val="22"/>
          <w:szCs w:val="22"/>
        </w:rPr>
        <w:t>R</w:t>
      </w:r>
      <w:r w:rsidR="00A04B05" w:rsidRPr="009B0BC9">
        <w:rPr>
          <w:rFonts w:ascii="Calibri" w:hAnsi="Calibri" w:cs="Calibri"/>
          <w:i/>
          <w:sz w:val="22"/>
          <w:szCs w:val="22"/>
        </w:rPr>
        <w:t xml:space="preserve"> Enti,</w:t>
      </w:r>
      <w:r w:rsidR="009B0BC9" w:rsidRPr="009B0BC9">
        <w:rPr>
          <w:rFonts w:ascii="Calibri" w:hAnsi="Calibri" w:cs="Calibri"/>
          <w:i/>
          <w:sz w:val="22"/>
          <w:szCs w:val="22"/>
        </w:rPr>
        <w:t xml:space="preserve"> </w:t>
      </w:r>
      <w:r w:rsidR="00A04B05" w:rsidRPr="009B0BC9">
        <w:rPr>
          <w:rFonts w:ascii="Calibri" w:hAnsi="Calibri" w:cs="Calibri"/>
          <w:i/>
          <w:sz w:val="22"/>
          <w:szCs w:val="22"/>
        </w:rPr>
        <w:t>F Fahad,</w:t>
      </w:r>
      <w:r w:rsidR="009B0BC9" w:rsidRPr="009B0BC9">
        <w:rPr>
          <w:rFonts w:ascii="Calibri" w:hAnsi="Calibri" w:cs="Calibri"/>
          <w:i/>
          <w:sz w:val="22"/>
          <w:szCs w:val="22"/>
        </w:rPr>
        <w:t xml:space="preserve"> P Gouldstone, Dr S Hardman, Y Korimbux, Dr M Thomas, Dr C Whelan, Dr S Woldman, P Wright*, Dr S Velmurugan (*</w:t>
      </w:r>
      <w:r w:rsidR="00A04B05" w:rsidRPr="009B0BC9">
        <w:rPr>
          <w:rFonts w:ascii="Calibri" w:hAnsi="Calibri" w:cs="Calibri"/>
          <w:i/>
          <w:sz w:val="22"/>
          <w:szCs w:val="22"/>
        </w:rPr>
        <w:t>Initiating authors</w:t>
      </w:r>
      <w:r w:rsidR="00A40DDB" w:rsidRPr="009B0BC9">
        <w:rPr>
          <w:rFonts w:ascii="Calibri" w:hAnsi="Calibri" w:cs="Calibri"/>
          <w:i/>
          <w:sz w:val="22"/>
          <w:szCs w:val="22"/>
        </w:rPr>
        <w:t>)</w:t>
      </w:r>
      <w:r w:rsidRPr="009B0BC9">
        <w:rPr>
          <w:rFonts w:ascii="Calibri" w:hAnsi="Calibri" w:cs="Calibri"/>
          <w:i/>
          <w:sz w:val="22"/>
          <w:szCs w:val="22"/>
        </w:rPr>
        <w:t>]</w:t>
      </w:r>
    </w:p>
    <w:p w14:paraId="6C8290DB" w14:textId="77777777" w:rsidR="009B47C8" w:rsidRDefault="009B47C8" w:rsidP="00A04B05">
      <w:pPr>
        <w:widowControl w:val="0"/>
        <w:autoSpaceDE w:val="0"/>
        <w:autoSpaceDN w:val="0"/>
        <w:adjustRightInd w:val="0"/>
        <w:rPr>
          <w:rFonts w:ascii="Calibri" w:hAnsi="Calibri" w:cs="Calibri"/>
          <w:i/>
          <w:sz w:val="22"/>
          <w:szCs w:val="22"/>
        </w:rPr>
      </w:pPr>
    </w:p>
    <w:p w14:paraId="67FC0FED" w14:textId="77777777" w:rsidR="009B47C8" w:rsidRDefault="009B47C8" w:rsidP="00A04B05">
      <w:pPr>
        <w:widowControl w:val="0"/>
        <w:autoSpaceDE w:val="0"/>
        <w:autoSpaceDN w:val="0"/>
        <w:adjustRightInd w:val="0"/>
        <w:rPr>
          <w:rFonts w:ascii="Calibri" w:hAnsi="Calibri" w:cs="Calibri"/>
          <w:i/>
          <w:sz w:val="22"/>
          <w:szCs w:val="22"/>
        </w:rPr>
      </w:pPr>
    </w:p>
    <w:p w14:paraId="4BFBE65E" w14:textId="77777777" w:rsidR="009B47C8" w:rsidRDefault="009B47C8" w:rsidP="00A04B05">
      <w:pPr>
        <w:widowControl w:val="0"/>
        <w:autoSpaceDE w:val="0"/>
        <w:autoSpaceDN w:val="0"/>
        <w:adjustRightInd w:val="0"/>
        <w:rPr>
          <w:rFonts w:ascii="Calibri" w:hAnsi="Calibri" w:cs="Calibri"/>
          <w:i/>
          <w:sz w:val="22"/>
          <w:szCs w:val="22"/>
        </w:rPr>
      </w:pPr>
    </w:p>
    <w:p w14:paraId="19C173E0" w14:textId="77777777" w:rsidR="009B47C8" w:rsidRDefault="009B47C8" w:rsidP="00A04B05">
      <w:pPr>
        <w:widowControl w:val="0"/>
        <w:autoSpaceDE w:val="0"/>
        <w:autoSpaceDN w:val="0"/>
        <w:adjustRightInd w:val="0"/>
        <w:rPr>
          <w:rFonts w:ascii="Calibri" w:hAnsi="Calibri" w:cs="Calibri"/>
          <w:i/>
          <w:sz w:val="22"/>
          <w:szCs w:val="22"/>
        </w:rPr>
      </w:pPr>
    </w:p>
    <w:p w14:paraId="2D87160B" w14:textId="77777777" w:rsidR="009B47C8" w:rsidRDefault="009B47C8" w:rsidP="00A04B05">
      <w:pPr>
        <w:widowControl w:val="0"/>
        <w:autoSpaceDE w:val="0"/>
        <w:autoSpaceDN w:val="0"/>
        <w:adjustRightInd w:val="0"/>
        <w:rPr>
          <w:rFonts w:ascii="Calibri" w:hAnsi="Calibri" w:cs="Calibri"/>
          <w:i/>
          <w:sz w:val="22"/>
          <w:szCs w:val="22"/>
        </w:rPr>
      </w:pPr>
    </w:p>
    <w:p w14:paraId="32656A48" w14:textId="77777777" w:rsidR="009B47C8" w:rsidRDefault="009B47C8" w:rsidP="00A04B05">
      <w:pPr>
        <w:widowControl w:val="0"/>
        <w:autoSpaceDE w:val="0"/>
        <w:autoSpaceDN w:val="0"/>
        <w:adjustRightInd w:val="0"/>
        <w:rPr>
          <w:rFonts w:ascii="Calibri" w:hAnsi="Calibri" w:cs="Calibri"/>
          <w:i/>
          <w:sz w:val="22"/>
          <w:szCs w:val="22"/>
        </w:rPr>
      </w:pPr>
    </w:p>
    <w:p w14:paraId="77AB0E2A" w14:textId="77777777" w:rsidR="009B47C8" w:rsidRDefault="009B47C8" w:rsidP="00A04B05">
      <w:pPr>
        <w:widowControl w:val="0"/>
        <w:autoSpaceDE w:val="0"/>
        <w:autoSpaceDN w:val="0"/>
        <w:adjustRightInd w:val="0"/>
        <w:rPr>
          <w:rFonts w:ascii="Calibri" w:hAnsi="Calibri" w:cs="Calibri"/>
          <w:i/>
          <w:sz w:val="22"/>
          <w:szCs w:val="22"/>
        </w:rPr>
      </w:pPr>
    </w:p>
    <w:p w14:paraId="784B626E" w14:textId="77777777" w:rsidR="009B47C8" w:rsidRDefault="009B47C8" w:rsidP="00A04B05">
      <w:pPr>
        <w:widowControl w:val="0"/>
        <w:autoSpaceDE w:val="0"/>
        <w:autoSpaceDN w:val="0"/>
        <w:adjustRightInd w:val="0"/>
        <w:rPr>
          <w:rFonts w:ascii="Calibri" w:hAnsi="Calibri" w:cs="Calibri"/>
          <w:i/>
          <w:sz w:val="22"/>
          <w:szCs w:val="22"/>
        </w:rPr>
      </w:pPr>
    </w:p>
    <w:p w14:paraId="7F0C1BDB" w14:textId="77777777" w:rsidR="009B47C8" w:rsidRDefault="009B47C8" w:rsidP="00A04B05">
      <w:pPr>
        <w:widowControl w:val="0"/>
        <w:autoSpaceDE w:val="0"/>
        <w:autoSpaceDN w:val="0"/>
        <w:adjustRightInd w:val="0"/>
        <w:rPr>
          <w:rFonts w:ascii="Calibri" w:hAnsi="Calibri" w:cs="Calibri"/>
          <w:i/>
          <w:sz w:val="22"/>
          <w:szCs w:val="22"/>
        </w:rPr>
      </w:pPr>
    </w:p>
    <w:p w14:paraId="0E95912E" w14:textId="77777777" w:rsidR="009B47C8" w:rsidRDefault="009B47C8" w:rsidP="00A04B05">
      <w:pPr>
        <w:widowControl w:val="0"/>
        <w:autoSpaceDE w:val="0"/>
        <w:autoSpaceDN w:val="0"/>
        <w:adjustRightInd w:val="0"/>
        <w:rPr>
          <w:rFonts w:ascii="Calibri" w:hAnsi="Calibri" w:cs="Calibri"/>
          <w:i/>
          <w:sz w:val="22"/>
          <w:szCs w:val="22"/>
        </w:rPr>
      </w:pPr>
    </w:p>
    <w:p w14:paraId="1AEF457D" w14:textId="77777777" w:rsidR="009B47C8" w:rsidRDefault="009B47C8" w:rsidP="00A04B05">
      <w:pPr>
        <w:widowControl w:val="0"/>
        <w:autoSpaceDE w:val="0"/>
        <w:autoSpaceDN w:val="0"/>
        <w:adjustRightInd w:val="0"/>
        <w:rPr>
          <w:rFonts w:ascii="Calibri" w:hAnsi="Calibri" w:cs="Calibri"/>
          <w:i/>
          <w:sz w:val="22"/>
          <w:szCs w:val="22"/>
        </w:rPr>
      </w:pPr>
    </w:p>
    <w:p w14:paraId="68499397" w14:textId="77777777" w:rsidR="009B47C8" w:rsidRDefault="009B47C8" w:rsidP="00A04B05">
      <w:pPr>
        <w:widowControl w:val="0"/>
        <w:autoSpaceDE w:val="0"/>
        <w:autoSpaceDN w:val="0"/>
        <w:adjustRightInd w:val="0"/>
        <w:rPr>
          <w:rFonts w:ascii="Calibri" w:hAnsi="Calibri" w:cs="Calibri"/>
          <w:i/>
          <w:sz w:val="22"/>
          <w:szCs w:val="22"/>
        </w:rPr>
      </w:pPr>
    </w:p>
    <w:p w14:paraId="69AFF71F" w14:textId="77777777" w:rsidR="009B47C8" w:rsidRDefault="009B47C8" w:rsidP="00A04B05">
      <w:pPr>
        <w:widowControl w:val="0"/>
        <w:autoSpaceDE w:val="0"/>
        <w:autoSpaceDN w:val="0"/>
        <w:adjustRightInd w:val="0"/>
        <w:rPr>
          <w:rFonts w:ascii="Calibri" w:hAnsi="Calibri" w:cs="Calibri"/>
          <w:i/>
          <w:sz w:val="22"/>
          <w:szCs w:val="22"/>
        </w:rPr>
      </w:pPr>
    </w:p>
    <w:p w14:paraId="1EA8565A" w14:textId="77777777" w:rsidR="009B47C8" w:rsidRDefault="009B47C8" w:rsidP="00A04B05">
      <w:pPr>
        <w:widowControl w:val="0"/>
        <w:autoSpaceDE w:val="0"/>
        <w:autoSpaceDN w:val="0"/>
        <w:adjustRightInd w:val="0"/>
        <w:rPr>
          <w:rFonts w:ascii="Calibri" w:hAnsi="Calibri" w:cs="Calibri"/>
          <w:i/>
          <w:sz w:val="22"/>
          <w:szCs w:val="22"/>
        </w:rPr>
      </w:pPr>
    </w:p>
    <w:p w14:paraId="3B05785D" w14:textId="77777777" w:rsidR="009B47C8" w:rsidRDefault="009B47C8" w:rsidP="00A04B05">
      <w:pPr>
        <w:widowControl w:val="0"/>
        <w:autoSpaceDE w:val="0"/>
        <w:autoSpaceDN w:val="0"/>
        <w:adjustRightInd w:val="0"/>
        <w:rPr>
          <w:rFonts w:ascii="Calibri" w:hAnsi="Calibri" w:cs="Calibri"/>
          <w:i/>
          <w:sz w:val="22"/>
          <w:szCs w:val="22"/>
        </w:rPr>
      </w:pPr>
    </w:p>
    <w:p w14:paraId="5BE74E11" w14:textId="77777777" w:rsidR="009B47C8" w:rsidRDefault="009B47C8" w:rsidP="00A04B05">
      <w:pPr>
        <w:widowControl w:val="0"/>
        <w:autoSpaceDE w:val="0"/>
        <w:autoSpaceDN w:val="0"/>
        <w:adjustRightInd w:val="0"/>
        <w:rPr>
          <w:rFonts w:ascii="Calibri" w:hAnsi="Calibri" w:cs="Calibri"/>
          <w:i/>
          <w:sz w:val="22"/>
          <w:szCs w:val="22"/>
        </w:rPr>
      </w:pPr>
    </w:p>
    <w:p w14:paraId="53AACA8D" w14:textId="77777777" w:rsidR="009B47C8" w:rsidRDefault="009B47C8" w:rsidP="00A04B05">
      <w:pPr>
        <w:widowControl w:val="0"/>
        <w:autoSpaceDE w:val="0"/>
        <w:autoSpaceDN w:val="0"/>
        <w:adjustRightInd w:val="0"/>
        <w:rPr>
          <w:rFonts w:ascii="Calibri" w:hAnsi="Calibri" w:cs="Calibri"/>
          <w:i/>
          <w:sz w:val="22"/>
          <w:szCs w:val="22"/>
        </w:rPr>
      </w:pPr>
    </w:p>
    <w:p w14:paraId="5A295E09" w14:textId="77777777" w:rsidR="009B47C8" w:rsidRDefault="009B47C8" w:rsidP="00A04B05">
      <w:pPr>
        <w:widowControl w:val="0"/>
        <w:autoSpaceDE w:val="0"/>
        <w:autoSpaceDN w:val="0"/>
        <w:adjustRightInd w:val="0"/>
        <w:rPr>
          <w:rFonts w:ascii="Calibri" w:hAnsi="Calibri" w:cs="Calibri"/>
          <w:i/>
          <w:sz w:val="22"/>
          <w:szCs w:val="22"/>
        </w:rPr>
      </w:pPr>
    </w:p>
    <w:p w14:paraId="00095ECF" w14:textId="77777777" w:rsidR="009B47C8" w:rsidRDefault="009B47C8" w:rsidP="00A04B05">
      <w:pPr>
        <w:widowControl w:val="0"/>
        <w:autoSpaceDE w:val="0"/>
        <w:autoSpaceDN w:val="0"/>
        <w:adjustRightInd w:val="0"/>
        <w:rPr>
          <w:rFonts w:ascii="Calibri" w:hAnsi="Calibri" w:cs="Calibri"/>
          <w:i/>
          <w:sz w:val="22"/>
          <w:szCs w:val="22"/>
        </w:rPr>
      </w:pPr>
    </w:p>
    <w:p w14:paraId="0286CF05" w14:textId="77777777" w:rsidR="009B47C8" w:rsidRDefault="009B47C8" w:rsidP="00A04B05">
      <w:pPr>
        <w:widowControl w:val="0"/>
        <w:autoSpaceDE w:val="0"/>
        <w:autoSpaceDN w:val="0"/>
        <w:adjustRightInd w:val="0"/>
        <w:rPr>
          <w:rFonts w:ascii="Calibri" w:hAnsi="Calibri" w:cs="Calibri"/>
          <w:i/>
          <w:sz w:val="22"/>
          <w:szCs w:val="22"/>
        </w:rPr>
      </w:pPr>
    </w:p>
    <w:p w14:paraId="63EBE8B4" w14:textId="77777777" w:rsidR="009B47C8" w:rsidRDefault="009B47C8" w:rsidP="00A04B05">
      <w:pPr>
        <w:widowControl w:val="0"/>
        <w:autoSpaceDE w:val="0"/>
        <w:autoSpaceDN w:val="0"/>
        <w:adjustRightInd w:val="0"/>
        <w:rPr>
          <w:rFonts w:ascii="Calibri" w:hAnsi="Calibri" w:cs="Calibri"/>
          <w:b/>
          <w:sz w:val="22"/>
          <w:szCs w:val="22"/>
        </w:rPr>
      </w:pPr>
    </w:p>
    <w:p w14:paraId="6C4B2F75" w14:textId="77777777" w:rsidR="009B47C8" w:rsidRDefault="009B47C8" w:rsidP="00A04B05">
      <w:pPr>
        <w:widowControl w:val="0"/>
        <w:autoSpaceDE w:val="0"/>
        <w:autoSpaceDN w:val="0"/>
        <w:adjustRightInd w:val="0"/>
        <w:rPr>
          <w:rFonts w:ascii="Calibri" w:hAnsi="Calibri" w:cs="Calibri"/>
          <w:b/>
          <w:sz w:val="22"/>
          <w:szCs w:val="22"/>
        </w:rPr>
      </w:pPr>
    </w:p>
    <w:p w14:paraId="1B689531" w14:textId="77777777" w:rsidR="009B47C8" w:rsidRDefault="009B47C8" w:rsidP="00A04B05">
      <w:pPr>
        <w:widowControl w:val="0"/>
        <w:autoSpaceDE w:val="0"/>
        <w:autoSpaceDN w:val="0"/>
        <w:adjustRightInd w:val="0"/>
        <w:rPr>
          <w:rFonts w:ascii="Calibri" w:hAnsi="Calibri" w:cs="Calibri"/>
          <w:b/>
          <w:sz w:val="22"/>
          <w:szCs w:val="22"/>
        </w:rPr>
      </w:pPr>
    </w:p>
    <w:p w14:paraId="16302BAE" w14:textId="77777777" w:rsidR="009B47C8" w:rsidRDefault="009B47C8" w:rsidP="00A04B05">
      <w:pPr>
        <w:widowControl w:val="0"/>
        <w:autoSpaceDE w:val="0"/>
        <w:autoSpaceDN w:val="0"/>
        <w:adjustRightInd w:val="0"/>
        <w:rPr>
          <w:rFonts w:ascii="Calibri" w:hAnsi="Calibri" w:cs="Calibri"/>
          <w:b/>
          <w:sz w:val="22"/>
          <w:szCs w:val="22"/>
        </w:rPr>
      </w:pPr>
    </w:p>
    <w:p w14:paraId="51087280" w14:textId="77777777" w:rsidR="009B47C8" w:rsidRDefault="009B47C8" w:rsidP="00A04B05">
      <w:pPr>
        <w:widowControl w:val="0"/>
        <w:autoSpaceDE w:val="0"/>
        <w:autoSpaceDN w:val="0"/>
        <w:adjustRightInd w:val="0"/>
        <w:rPr>
          <w:rFonts w:ascii="Calibri" w:hAnsi="Calibri" w:cs="Calibri"/>
          <w:b/>
          <w:sz w:val="22"/>
          <w:szCs w:val="22"/>
        </w:rPr>
      </w:pPr>
    </w:p>
    <w:p w14:paraId="4C1D6C7F" w14:textId="77777777" w:rsidR="009B47C8" w:rsidRDefault="009B47C8" w:rsidP="00A04B05">
      <w:pPr>
        <w:widowControl w:val="0"/>
        <w:autoSpaceDE w:val="0"/>
        <w:autoSpaceDN w:val="0"/>
        <w:adjustRightInd w:val="0"/>
        <w:rPr>
          <w:rFonts w:ascii="Calibri" w:hAnsi="Calibri" w:cs="Calibri"/>
          <w:b/>
          <w:sz w:val="22"/>
          <w:szCs w:val="22"/>
        </w:rPr>
      </w:pPr>
    </w:p>
    <w:p w14:paraId="1FD80F5E" w14:textId="77777777" w:rsidR="009B47C8" w:rsidRDefault="009B47C8" w:rsidP="00A04B05">
      <w:pPr>
        <w:widowControl w:val="0"/>
        <w:autoSpaceDE w:val="0"/>
        <w:autoSpaceDN w:val="0"/>
        <w:adjustRightInd w:val="0"/>
        <w:rPr>
          <w:rFonts w:ascii="Calibri" w:hAnsi="Calibri" w:cs="Calibri"/>
          <w:b/>
          <w:sz w:val="22"/>
          <w:szCs w:val="22"/>
        </w:rPr>
      </w:pPr>
    </w:p>
    <w:p w14:paraId="3ED24AB6" w14:textId="77777777" w:rsidR="009B47C8" w:rsidRDefault="009B47C8" w:rsidP="00A04B05">
      <w:pPr>
        <w:widowControl w:val="0"/>
        <w:autoSpaceDE w:val="0"/>
        <w:autoSpaceDN w:val="0"/>
        <w:adjustRightInd w:val="0"/>
        <w:rPr>
          <w:rFonts w:ascii="Calibri" w:hAnsi="Calibri" w:cs="Calibri"/>
          <w:b/>
          <w:sz w:val="22"/>
          <w:szCs w:val="22"/>
        </w:rPr>
      </w:pPr>
    </w:p>
    <w:p w14:paraId="2488FF7C" w14:textId="77777777" w:rsidR="009B47C8" w:rsidRDefault="009B47C8" w:rsidP="00A04B05">
      <w:pPr>
        <w:widowControl w:val="0"/>
        <w:autoSpaceDE w:val="0"/>
        <w:autoSpaceDN w:val="0"/>
        <w:adjustRightInd w:val="0"/>
        <w:rPr>
          <w:rFonts w:ascii="Calibri" w:hAnsi="Calibri" w:cs="Calibri"/>
          <w:b/>
          <w:sz w:val="22"/>
          <w:szCs w:val="22"/>
        </w:rPr>
      </w:pPr>
    </w:p>
    <w:p w14:paraId="36BE09F2" w14:textId="77777777" w:rsidR="009B47C8" w:rsidRDefault="009B47C8" w:rsidP="00A04B05">
      <w:pPr>
        <w:widowControl w:val="0"/>
        <w:autoSpaceDE w:val="0"/>
        <w:autoSpaceDN w:val="0"/>
        <w:adjustRightInd w:val="0"/>
        <w:rPr>
          <w:rFonts w:ascii="Calibri" w:hAnsi="Calibri" w:cs="Calibri"/>
          <w:b/>
          <w:sz w:val="22"/>
          <w:szCs w:val="22"/>
        </w:rPr>
      </w:pPr>
    </w:p>
    <w:p w14:paraId="339050D9" w14:textId="77777777" w:rsidR="009B47C8" w:rsidRDefault="009B47C8" w:rsidP="00A04B05">
      <w:pPr>
        <w:widowControl w:val="0"/>
        <w:autoSpaceDE w:val="0"/>
        <w:autoSpaceDN w:val="0"/>
        <w:adjustRightInd w:val="0"/>
        <w:rPr>
          <w:rFonts w:ascii="Calibri" w:hAnsi="Calibri" w:cs="Calibri"/>
          <w:b/>
          <w:sz w:val="22"/>
          <w:szCs w:val="22"/>
        </w:rPr>
      </w:pPr>
    </w:p>
    <w:p w14:paraId="427A56B2" w14:textId="77777777" w:rsidR="009B47C8" w:rsidRDefault="009B47C8" w:rsidP="00A04B05">
      <w:pPr>
        <w:widowControl w:val="0"/>
        <w:autoSpaceDE w:val="0"/>
        <w:autoSpaceDN w:val="0"/>
        <w:adjustRightInd w:val="0"/>
        <w:rPr>
          <w:rFonts w:ascii="Calibri" w:hAnsi="Calibri" w:cs="Calibri"/>
          <w:b/>
          <w:sz w:val="22"/>
          <w:szCs w:val="22"/>
        </w:rPr>
      </w:pPr>
    </w:p>
    <w:p w14:paraId="6A5CB78A" w14:textId="77777777" w:rsidR="009B47C8" w:rsidRDefault="009B47C8" w:rsidP="00A04B05">
      <w:pPr>
        <w:widowControl w:val="0"/>
        <w:autoSpaceDE w:val="0"/>
        <w:autoSpaceDN w:val="0"/>
        <w:adjustRightInd w:val="0"/>
        <w:rPr>
          <w:rFonts w:ascii="Calibri" w:hAnsi="Calibri" w:cs="Calibri"/>
          <w:b/>
          <w:sz w:val="22"/>
          <w:szCs w:val="22"/>
        </w:rPr>
      </w:pPr>
    </w:p>
    <w:p w14:paraId="01FA10EA" w14:textId="77777777" w:rsidR="009B47C8" w:rsidRDefault="009B47C8" w:rsidP="00A04B05">
      <w:pPr>
        <w:widowControl w:val="0"/>
        <w:autoSpaceDE w:val="0"/>
        <w:autoSpaceDN w:val="0"/>
        <w:adjustRightInd w:val="0"/>
        <w:rPr>
          <w:rFonts w:ascii="Calibri" w:hAnsi="Calibri" w:cs="Calibri"/>
          <w:b/>
          <w:sz w:val="22"/>
          <w:szCs w:val="22"/>
        </w:rPr>
      </w:pPr>
    </w:p>
    <w:p w14:paraId="71678412" w14:textId="77777777" w:rsidR="009B47C8" w:rsidRDefault="009B47C8" w:rsidP="00A04B05">
      <w:pPr>
        <w:widowControl w:val="0"/>
        <w:autoSpaceDE w:val="0"/>
        <w:autoSpaceDN w:val="0"/>
        <w:adjustRightInd w:val="0"/>
        <w:rPr>
          <w:rFonts w:ascii="Calibri" w:hAnsi="Calibri" w:cs="Calibri"/>
          <w:b/>
          <w:sz w:val="22"/>
          <w:szCs w:val="22"/>
        </w:rPr>
      </w:pPr>
    </w:p>
    <w:p w14:paraId="2B42A70C" w14:textId="77777777" w:rsidR="009B47C8" w:rsidRDefault="009B47C8" w:rsidP="00A04B05">
      <w:pPr>
        <w:widowControl w:val="0"/>
        <w:autoSpaceDE w:val="0"/>
        <w:autoSpaceDN w:val="0"/>
        <w:adjustRightInd w:val="0"/>
        <w:rPr>
          <w:rFonts w:ascii="Calibri" w:hAnsi="Calibri" w:cs="Calibri"/>
          <w:b/>
          <w:sz w:val="22"/>
          <w:szCs w:val="22"/>
        </w:rPr>
      </w:pPr>
    </w:p>
    <w:p w14:paraId="370F2F2F" w14:textId="77777777" w:rsidR="009B47C8" w:rsidRDefault="009B47C8" w:rsidP="00A04B05">
      <w:pPr>
        <w:widowControl w:val="0"/>
        <w:autoSpaceDE w:val="0"/>
        <w:autoSpaceDN w:val="0"/>
        <w:adjustRightInd w:val="0"/>
        <w:rPr>
          <w:rFonts w:ascii="Calibri" w:hAnsi="Calibri" w:cs="Calibri"/>
          <w:b/>
          <w:sz w:val="22"/>
          <w:szCs w:val="22"/>
        </w:rPr>
      </w:pPr>
    </w:p>
    <w:p w14:paraId="23914DAD" w14:textId="77777777" w:rsidR="00430132" w:rsidRDefault="00430132" w:rsidP="00A04B05">
      <w:pPr>
        <w:widowControl w:val="0"/>
        <w:autoSpaceDE w:val="0"/>
        <w:autoSpaceDN w:val="0"/>
        <w:adjustRightInd w:val="0"/>
        <w:rPr>
          <w:rFonts w:ascii="Calibri" w:hAnsi="Calibri" w:cs="Calibri"/>
          <w:b/>
          <w:sz w:val="22"/>
          <w:szCs w:val="22"/>
        </w:rPr>
      </w:pPr>
    </w:p>
    <w:p w14:paraId="185DA71D" w14:textId="77777777" w:rsidR="00430132" w:rsidRDefault="00430132" w:rsidP="00A04B05">
      <w:pPr>
        <w:widowControl w:val="0"/>
        <w:autoSpaceDE w:val="0"/>
        <w:autoSpaceDN w:val="0"/>
        <w:adjustRightInd w:val="0"/>
        <w:rPr>
          <w:rFonts w:ascii="Calibri" w:hAnsi="Calibri" w:cs="Calibri"/>
          <w:b/>
          <w:sz w:val="22"/>
          <w:szCs w:val="22"/>
        </w:rPr>
      </w:pPr>
    </w:p>
    <w:p w14:paraId="08C09F8E" w14:textId="7078C35E" w:rsidR="009B47C8" w:rsidRDefault="009B47C8" w:rsidP="00A04B05">
      <w:pPr>
        <w:widowControl w:val="0"/>
        <w:autoSpaceDE w:val="0"/>
        <w:autoSpaceDN w:val="0"/>
        <w:adjustRightInd w:val="0"/>
        <w:rPr>
          <w:rFonts w:ascii="Calibri" w:hAnsi="Calibri" w:cs="Calibri"/>
          <w:b/>
          <w:sz w:val="22"/>
          <w:szCs w:val="22"/>
        </w:rPr>
      </w:pPr>
      <w:r w:rsidRPr="009B47C8">
        <w:rPr>
          <w:rFonts w:ascii="Calibri" w:hAnsi="Calibri" w:cs="Calibri"/>
          <w:b/>
          <w:sz w:val="22"/>
          <w:szCs w:val="22"/>
        </w:rPr>
        <w:t>Appendix 1: Optimum doses of selected pharmacotherapy used in heart failure</w:t>
      </w:r>
    </w:p>
    <w:p w14:paraId="5C91DDE9" w14:textId="62FB2A8E" w:rsidR="009B47C8" w:rsidRPr="009B47C8" w:rsidRDefault="009B47C8" w:rsidP="00A04B05">
      <w:pPr>
        <w:widowControl w:val="0"/>
        <w:autoSpaceDE w:val="0"/>
        <w:autoSpaceDN w:val="0"/>
        <w:adjustRightInd w:val="0"/>
        <w:rPr>
          <w:rFonts w:ascii="Calibri" w:hAnsi="Calibri" w:cs="Calibri"/>
          <w:b/>
          <w:sz w:val="22"/>
          <w:szCs w:val="22"/>
        </w:rPr>
      </w:pPr>
      <w:r>
        <w:rPr>
          <w:rFonts w:ascii="Calibri" w:hAnsi="Calibri" w:cs="Calibri"/>
          <w:b/>
          <w:sz w:val="22"/>
          <w:szCs w:val="22"/>
        </w:rPr>
        <w:tab/>
      </w:r>
      <w:r>
        <w:rPr>
          <w:rFonts w:ascii="Calibri" w:hAnsi="Calibri" w:cs="Calibri"/>
          <w:b/>
          <w:sz w:val="22"/>
          <w:szCs w:val="22"/>
        </w:rPr>
        <w:tab/>
        <w:t>(Adapted from ESC guidance 2016 and UK license)</w:t>
      </w:r>
    </w:p>
    <w:p w14:paraId="04F56112" w14:textId="589C6D8A" w:rsidR="00A04B05" w:rsidRDefault="00A04B05" w:rsidP="00A04B05">
      <w:pPr>
        <w:widowControl w:val="0"/>
        <w:autoSpaceDE w:val="0"/>
        <w:autoSpaceDN w:val="0"/>
        <w:adjustRightInd w:val="0"/>
        <w:rPr>
          <w:rFonts w:ascii="Calibri" w:hAnsi="Calibri" w:cs="Calibri"/>
          <w:b/>
          <w:bCs/>
          <w:sz w:val="22"/>
          <w:szCs w:val="22"/>
        </w:rPr>
      </w:pPr>
    </w:p>
    <w:tbl>
      <w:tblPr>
        <w:tblStyle w:val="TableGrid"/>
        <w:tblW w:w="0" w:type="auto"/>
        <w:tblLook w:val="04A0" w:firstRow="1" w:lastRow="0" w:firstColumn="1" w:lastColumn="0" w:noHBand="0" w:noVBand="1"/>
      </w:tblPr>
      <w:tblGrid>
        <w:gridCol w:w="1448"/>
        <w:gridCol w:w="1637"/>
        <w:gridCol w:w="1701"/>
        <w:gridCol w:w="603"/>
        <w:gridCol w:w="1240"/>
        <w:gridCol w:w="1457"/>
        <w:gridCol w:w="1315"/>
      </w:tblGrid>
      <w:tr w:rsidR="009B47C8" w:rsidRPr="00430132" w14:paraId="76EF2D7A" w14:textId="77777777" w:rsidTr="00430132">
        <w:tc>
          <w:tcPr>
            <w:tcW w:w="1448" w:type="dxa"/>
          </w:tcPr>
          <w:p w14:paraId="19748A5C" w14:textId="77777777" w:rsidR="009B47C8" w:rsidRPr="00430132" w:rsidRDefault="009B47C8" w:rsidP="00F51F5F">
            <w:pPr>
              <w:rPr>
                <w:rFonts w:asciiTheme="majorHAnsi" w:hAnsiTheme="majorHAnsi"/>
                <w:sz w:val="20"/>
                <w:szCs w:val="20"/>
              </w:rPr>
            </w:pPr>
          </w:p>
        </w:tc>
        <w:tc>
          <w:tcPr>
            <w:tcW w:w="1637" w:type="dxa"/>
          </w:tcPr>
          <w:p w14:paraId="26EC9F46" w14:textId="77777777" w:rsidR="009B47C8" w:rsidRPr="00430132" w:rsidRDefault="009B47C8" w:rsidP="00F51F5F">
            <w:pPr>
              <w:rPr>
                <w:rFonts w:asciiTheme="majorHAnsi" w:hAnsiTheme="majorHAnsi"/>
                <w:b/>
                <w:sz w:val="20"/>
                <w:szCs w:val="20"/>
              </w:rPr>
            </w:pPr>
            <w:r w:rsidRPr="00430132">
              <w:rPr>
                <w:rFonts w:asciiTheme="majorHAnsi" w:hAnsiTheme="majorHAnsi"/>
                <w:b/>
                <w:sz w:val="20"/>
                <w:szCs w:val="20"/>
              </w:rPr>
              <w:t>Starting dose</w:t>
            </w:r>
          </w:p>
        </w:tc>
        <w:tc>
          <w:tcPr>
            <w:tcW w:w="1701" w:type="dxa"/>
          </w:tcPr>
          <w:p w14:paraId="5EA70E94" w14:textId="77777777" w:rsidR="009B47C8" w:rsidRPr="00430132" w:rsidRDefault="009B47C8" w:rsidP="00F51F5F">
            <w:pPr>
              <w:rPr>
                <w:rFonts w:asciiTheme="majorHAnsi" w:hAnsiTheme="majorHAnsi"/>
                <w:b/>
                <w:sz w:val="20"/>
                <w:szCs w:val="20"/>
              </w:rPr>
            </w:pPr>
            <w:r w:rsidRPr="00430132">
              <w:rPr>
                <w:rFonts w:asciiTheme="majorHAnsi" w:hAnsiTheme="majorHAnsi"/>
                <w:b/>
                <w:sz w:val="20"/>
                <w:szCs w:val="20"/>
              </w:rPr>
              <w:t>Target dose</w:t>
            </w:r>
          </w:p>
        </w:tc>
        <w:tc>
          <w:tcPr>
            <w:tcW w:w="603" w:type="dxa"/>
            <w:tcBorders>
              <w:top w:val="single" w:sz="4" w:space="0" w:color="FFFFFF" w:themeColor="background1"/>
              <w:bottom w:val="single" w:sz="4" w:space="0" w:color="FFFFFF" w:themeColor="background1"/>
            </w:tcBorders>
          </w:tcPr>
          <w:p w14:paraId="49E72EEA" w14:textId="77777777" w:rsidR="009B47C8" w:rsidRPr="00430132" w:rsidRDefault="009B47C8" w:rsidP="00F51F5F">
            <w:pPr>
              <w:rPr>
                <w:rFonts w:asciiTheme="majorHAnsi" w:hAnsiTheme="majorHAnsi"/>
                <w:sz w:val="20"/>
                <w:szCs w:val="20"/>
              </w:rPr>
            </w:pPr>
          </w:p>
        </w:tc>
        <w:tc>
          <w:tcPr>
            <w:tcW w:w="1240" w:type="dxa"/>
          </w:tcPr>
          <w:p w14:paraId="44FF971B" w14:textId="77777777" w:rsidR="009B47C8" w:rsidRPr="00430132" w:rsidRDefault="009B47C8" w:rsidP="00F51F5F">
            <w:pPr>
              <w:rPr>
                <w:rFonts w:asciiTheme="majorHAnsi" w:hAnsiTheme="majorHAnsi"/>
                <w:sz w:val="20"/>
                <w:szCs w:val="20"/>
              </w:rPr>
            </w:pPr>
          </w:p>
        </w:tc>
        <w:tc>
          <w:tcPr>
            <w:tcW w:w="1457" w:type="dxa"/>
          </w:tcPr>
          <w:p w14:paraId="1C54C752"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Starting dose</w:t>
            </w:r>
          </w:p>
        </w:tc>
        <w:tc>
          <w:tcPr>
            <w:tcW w:w="1315" w:type="dxa"/>
          </w:tcPr>
          <w:p w14:paraId="7B6F4677"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Target dose</w:t>
            </w:r>
          </w:p>
        </w:tc>
      </w:tr>
      <w:tr w:rsidR="009B47C8" w:rsidRPr="00430132" w14:paraId="69F4907F" w14:textId="77777777" w:rsidTr="00430132">
        <w:tc>
          <w:tcPr>
            <w:tcW w:w="4786" w:type="dxa"/>
            <w:gridSpan w:val="3"/>
            <w:shd w:val="clear" w:color="auto" w:fill="C6D9F1" w:themeFill="text2" w:themeFillTint="33"/>
          </w:tcPr>
          <w:p w14:paraId="50B0910A" w14:textId="77777777" w:rsidR="009B47C8" w:rsidRPr="00430132" w:rsidRDefault="009B47C8" w:rsidP="00F51F5F">
            <w:pPr>
              <w:rPr>
                <w:rFonts w:asciiTheme="majorHAnsi" w:hAnsiTheme="majorHAnsi"/>
                <w:b/>
                <w:sz w:val="20"/>
                <w:szCs w:val="20"/>
              </w:rPr>
            </w:pPr>
            <w:r w:rsidRPr="00430132">
              <w:rPr>
                <w:rFonts w:asciiTheme="majorHAnsi" w:hAnsiTheme="majorHAnsi"/>
                <w:b/>
                <w:sz w:val="20"/>
                <w:szCs w:val="20"/>
              </w:rPr>
              <w:t>ACEi</w:t>
            </w:r>
          </w:p>
        </w:tc>
        <w:tc>
          <w:tcPr>
            <w:tcW w:w="603" w:type="dxa"/>
            <w:tcBorders>
              <w:top w:val="single" w:sz="4" w:space="0" w:color="FFFFFF" w:themeColor="background1"/>
              <w:bottom w:val="single" w:sz="4" w:space="0" w:color="FFFFFF" w:themeColor="background1"/>
            </w:tcBorders>
          </w:tcPr>
          <w:p w14:paraId="20B8FFE1" w14:textId="77777777" w:rsidR="009B47C8" w:rsidRPr="00430132" w:rsidRDefault="009B47C8" w:rsidP="00F51F5F">
            <w:pPr>
              <w:rPr>
                <w:rFonts w:asciiTheme="majorHAnsi" w:hAnsiTheme="majorHAnsi"/>
                <w:sz w:val="20"/>
                <w:szCs w:val="20"/>
              </w:rPr>
            </w:pPr>
          </w:p>
        </w:tc>
        <w:tc>
          <w:tcPr>
            <w:tcW w:w="4012" w:type="dxa"/>
            <w:gridSpan w:val="3"/>
            <w:shd w:val="clear" w:color="auto" w:fill="C6D9F1" w:themeFill="text2" w:themeFillTint="33"/>
          </w:tcPr>
          <w:p w14:paraId="743D2D02" w14:textId="77777777" w:rsidR="009B47C8" w:rsidRPr="00430132" w:rsidRDefault="009B47C8" w:rsidP="00F51F5F">
            <w:pPr>
              <w:rPr>
                <w:rFonts w:asciiTheme="majorHAnsi" w:hAnsiTheme="majorHAnsi"/>
                <w:b/>
                <w:sz w:val="20"/>
                <w:szCs w:val="20"/>
              </w:rPr>
            </w:pPr>
            <w:r w:rsidRPr="00430132">
              <w:rPr>
                <w:rFonts w:asciiTheme="majorHAnsi" w:hAnsiTheme="majorHAnsi"/>
                <w:b/>
                <w:sz w:val="20"/>
                <w:szCs w:val="20"/>
              </w:rPr>
              <w:t>ARB</w:t>
            </w:r>
          </w:p>
        </w:tc>
      </w:tr>
      <w:tr w:rsidR="009B47C8" w:rsidRPr="00430132" w14:paraId="11ECE1ED" w14:textId="77777777" w:rsidTr="00430132">
        <w:tc>
          <w:tcPr>
            <w:tcW w:w="1448" w:type="dxa"/>
          </w:tcPr>
          <w:p w14:paraId="66585231"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Captopril</w:t>
            </w:r>
          </w:p>
        </w:tc>
        <w:tc>
          <w:tcPr>
            <w:tcW w:w="1637" w:type="dxa"/>
          </w:tcPr>
          <w:p w14:paraId="65561DE1"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6.25mg bd - tds</w:t>
            </w:r>
          </w:p>
        </w:tc>
        <w:tc>
          <w:tcPr>
            <w:tcW w:w="1701" w:type="dxa"/>
          </w:tcPr>
          <w:p w14:paraId="33C53926"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50mg tds</w:t>
            </w:r>
          </w:p>
        </w:tc>
        <w:tc>
          <w:tcPr>
            <w:tcW w:w="603" w:type="dxa"/>
            <w:tcBorders>
              <w:top w:val="single" w:sz="4" w:space="0" w:color="FFFFFF" w:themeColor="background1"/>
              <w:bottom w:val="single" w:sz="4" w:space="0" w:color="FFFFFF" w:themeColor="background1"/>
            </w:tcBorders>
          </w:tcPr>
          <w:p w14:paraId="302E3CAC" w14:textId="77777777" w:rsidR="009B47C8" w:rsidRPr="00430132" w:rsidRDefault="009B47C8" w:rsidP="00F51F5F">
            <w:pPr>
              <w:rPr>
                <w:rFonts w:asciiTheme="majorHAnsi" w:hAnsiTheme="majorHAnsi"/>
                <w:sz w:val="20"/>
                <w:szCs w:val="20"/>
              </w:rPr>
            </w:pPr>
          </w:p>
        </w:tc>
        <w:tc>
          <w:tcPr>
            <w:tcW w:w="1240" w:type="dxa"/>
          </w:tcPr>
          <w:p w14:paraId="78DA7277"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Candesartan</w:t>
            </w:r>
          </w:p>
        </w:tc>
        <w:tc>
          <w:tcPr>
            <w:tcW w:w="1457" w:type="dxa"/>
          </w:tcPr>
          <w:p w14:paraId="6F663338"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4mg od</w:t>
            </w:r>
          </w:p>
        </w:tc>
        <w:tc>
          <w:tcPr>
            <w:tcW w:w="1315" w:type="dxa"/>
          </w:tcPr>
          <w:p w14:paraId="3EC7CC14"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32mg od</w:t>
            </w:r>
          </w:p>
        </w:tc>
      </w:tr>
      <w:tr w:rsidR="009B47C8" w:rsidRPr="00430132" w14:paraId="415CE629" w14:textId="77777777" w:rsidTr="00430132">
        <w:tc>
          <w:tcPr>
            <w:tcW w:w="1448" w:type="dxa"/>
          </w:tcPr>
          <w:p w14:paraId="47A3FF96"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Enalapril</w:t>
            </w:r>
          </w:p>
        </w:tc>
        <w:tc>
          <w:tcPr>
            <w:tcW w:w="1637" w:type="dxa"/>
          </w:tcPr>
          <w:p w14:paraId="79910A0F"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2.5mg bd</w:t>
            </w:r>
          </w:p>
        </w:tc>
        <w:tc>
          <w:tcPr>
            <w:tcW w:w="1701" w:type="dxa"/>
          </w:tcPr>
          <w:p w14:paraId="4C3BE938" w14:textId="09CA9037" w:rsidR="009B47C8" w:rsidRPr="00430132" w:rsidRDefault="009B47C8" w:rsidP="00430132">
            <w:pPr>
              <w:rPr>
                <w:rFonts w:asciiTheme="majorHAnsi" w:hAnsiTheme="majorHAnsi"/>
                <w:sz w:val="20"/>
                <w:szCs w:val="20"/>
              </w:rPr>
            </w:pPr>
            <w:r w:rsidRPr="00430132">
              <w:rPr>
                <w:rFonts w:asciiTheme="majorHAnsi" w:hAnsiTheme="majorHAnsi"/>
                <w:sz w:val="20"/>
                <w:szCs w:val="20"/>
              </w:rPr>
              <w:t xml:space="preserve">20mg </w:t>
            </w:r>
            <w:r w:rsidR="00430132">
              <w:rPr>
                <w:rFonts w:asciiTheme="majorHAnsi" w:hAnsiTheme="majorHAnsi"/>
                <w:sz w:val="20"/>
                <w:szCs w:val="20"/>
              </w:rPr>
              <w:t>bd</w:t>
            </w:r>
          </w:p>
        </w:tc>
        <w:tc>
          <w:tcPr>
            <w:tcW w:w="603" w:type="dxa"/>
            <w:tcBorders>
              <w:top w:val="single" w:sz="4" w:space="0" w:color="FFFFFF" w:themeColor="background1"/>
              <w:bottom w:val="single" w:sz="4" w:space="0" w:color="FFFFFF" w:themeColor="background1"/>
            </w:tcBorders>
          </w:tcPr>
          <w:p w14:paraId="316EE847" w14:textId="77777777" w:rsidR="009B47C8" w:rsidRPr="00430132" w:rsidRDefault="009B47C8" w:rsidP="00F51F5F">
            <w:pPr>
              <w:rPr>
                <w:rFonts w:asciiTheme="majorHAnsi" w:hAnsiTheme="majorHAnsi"/>
                <w:sz w:val="20"/>
                <w:szCs w:val="20"/>
              </w:rPr>
            </w:pPr>
          </w:p>
        </w:tc>
        <w:tc>
          <w:tcPr>
            <w:tcW w:w="1240" w:type="dxa"/>
          </w:tcPr>
          <w:p w14:paraId="06D1CAF5"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Losartan</w:t>
            </w:r>
          </w:p>
        </w:tc>
        <w:tc>
          <w:tcPr>
            <w:tcW w:w="1457" w:type="dxa"/>
          </w:tcPr>
          <w:p w14:paraId="3963C058"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25mg od</w:t>
            </w:r>
          </w:p>
        </w:tc>
        <w:tc>
          <w:tcPr>
            <w:tcW w:w="1315" w:type="dxa"/>
          </w:tcPr>
          <w:p w14:paraId="42D6B14E"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150mg od</w:t>
            </w:r>
          </w:p>
        </w:tc>
      </w:tr>
      <w:tr w:rsidR="009B47C8" w:rsidRPr="00430132" w14:paraId="2934974B" w14:textId="77777777" w:rsidTr="00430132">
        <w:tc>
          <w:tcPr>
            <w:tcW w:w="1448" w:type="dxa"/>
          </w:tcPr>
          <w:p w14:paraId="23F69128"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Lisinopril</w:t>
            </w:r>
          </w:p>
        </w:tc>
        <w:tc>
          <w:tcPr>
            <w:tcW w:w="1637" w:type="dxa"/>
          </w:tcPr>
          <w:p w14:paraId="452B7257"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2.5-5mg od</w:t>
            </w:r>
          </w:p>
        </w:tc>
        <w:tc>
          <w:tcPr>
            <w:tcW w:w="1701" w:type="dxa"/>
          </w:tcPr>
          <w:p w14:paraId="2ECE4009" w14:textId="3FDC9563" w:rsidR="009B47C8" w:rsidRPr="00430132" w:rsidRDefault="00430132" w:rsidP="00F51F5F">
            <w:pPr>
              <w:rPr>
                <w:rFonts w:asciiTheme="majorHAnsi" w:hAnsiTheme="majorHAnsi"/>
                <w:sz w:val="20"/>
                <w:szCs w:val="20"/>
              </w:rPr>
            </w:pPr>
            <w:r>
              <w:rPr>
                <w:rFonts w:asciiTheme="majorHAnsi" w:hAnsiTheme="majorHAnsi"/>
                <w:sz w:val="20"/>
                <w:szCs w:val="20"/>
              </w:rPr>
              <w:t>35mg od</w:t>
            </w:r>
          </w:p>
        </w:tc>
        <w:tc>
          <w:tcPr>
            <w:tcW w:w="603" w:type="dxa"/>
            <w:tcBorders>
              <w:top w:val="single" w:sz="4" w:space="0" w:color="FFFFFF" w:themeColor="background1"/>
              <w:bottom w:val="single" w:sz="4" w:space="0" w:color="FFFFFF" w:themeColor="background1"/>
            </w:tcBorders>
          </w:tcPr>
          <w:p w14:paraId="397B573C" w14:textId="77777777" w:rsidR="009B47C8" w:rsidRPr="00430132" w:rsidRDefault="009B47C8" w:rsidP="00F51F5F">
            <w:pPr>
              <w:rPr>
                <w:rFonts w:asciiTheme="majorHAnsi" w:hAnsiTheme="majorHAnsi"/>
                <w:sz w:val="20"/>
                <w:szCs w:val="20"/>
              </w:rPr>
            </w:pPr>
          </w:p>
        </w:tc>
        <w:tc>
          <w:tcPr>
            <w:tcW w:w="1240" w:type="dxa"/>
          </w:tcPr>
          <w:p w14:paraId="4BCE7AF4"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Valsartan</w:t>
            </w:r>
          </w:p>
        </w:tc>
        <w:tc>
          <w:tcPr>
            <w:tcW w:w="1457" w:type="dxa"/>
          </w:tcPr>
          <w:p w14:paraId="4B4FBA88" w14:textId="0FA18EE0" w:rsidR="009B47C8" w:rsidRPr="00430132" w:rsidRDefault="00430132" w:rsidP="00F51F5F">
            <w:pPr>
              <w:rPr>
                <w:rFonts w:asciiTheme="majorHAnsi" w:hAnsiTheme="majorHAnsi"/>
                <w:sz w:val="20"/>
                <w:szCs w:val="20"/>
              </w:rPr>
            </w:pPr>
            <w:r>
              <w:rPr>
                <w:rFonts w:asciiTheme="majorHAnsi" w:hAnsiTheme="majorHAnsi"/>
                <w:sz w:val="20"/>
                <w:szCs w:val="20"/>
              </w:rPr>
              <w:t>40mg b</w:t>
            </w:r>
            <w:r w:rsidR="009B47C8" w:rsidRPr="00430132">
              <w:rPr>
                <w:rFonts w:asciiTheme="majorHAnsi" w:hAnsiTheme="majorHAnsi"/>
                <w:sz w:val="20"/>
                <w:szCs w:val="20"/>
              </w:rPr>
              <w:t>d</w:t>
            </w:r>
          </w:p>
        </w:tc>
        <w:tc>
          <w:tcPr>
            <w:tcW w:w="1315" w:type="dxa"/>
          </w:tcPr>
          <w:p w14:paraId="4CB3CFB8" w14:textId="55B47B06" w:rsidR="009B47C8" w:rsidRPr="00430132" w:rsidRDefault="009B47C8" w:rsidP="00430132">
            <w:pPr>
              <w:rPr>
                <w:rFonts w:asciiTheme="majorHAnsi" w:hAnsiTheme="majorHAnsi"/>
                <w:sz w:val="20"/>
                <w:szCs w:val="20"/>
              </w:rPr>
            </w:pPr>
            <w:r w:rsidRPr="00430132">
              <w:rPr>
                <w:rFonts w:asciiTheme="majorHAnsi" w:hAnsiTheme="majorHAnsi"/>
                <w:sz w:val="20"/>
                <w:szCs w:val="20"/>
              </w:rPr>
              <w:t xml:space="preserve">160mg </w:t>
            </w:r>
            <w:r w:rsidR="00430132">
              <w:rPr>
                <w:rFonts w:asciiTheme="majorHAnsi" w:hAnsiTheme="majorHAnsi"/>
                <w:sz w:val="20"/>
                <w:szCs w:val="20"/>
              </w:rPr>
              <w:t>b</w:t>
            </w:r>
            <w:r w:rsidRPr="00430132">
              <w:rPr>
                <w:rFonts w:asciiTheme="majorHAnsi" w:hAnsiTheme="majorHAnsi"/>
                <w:sz w:val="20"/>
                <w:szCs w:val="20"/>
              </w:rPr>
              <w:t>d</w:t>
            </w:r>
          </w:p>
        </w:tc>
      </w:tr>
      <w:tr w:rsidR="009B47C8" w:rsidRPr="00430132" w14:paraId="4B142FFF" w14:textId="77777777" w:rsidTr="00430132">
        <w:tc>
          <w:tcPr>
            <w:tcW w:w="1448" w:type="dxa"/>
          </w:tcPr>
          <w:p w14:paraId="619CDCBB"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Ramipril</w:t>
            </w:r>
          </w:p>
        </w:tc>
        <w:tc>
          <w:tcPr>
            <w:tcW w:w="1637" w:type="dxa"/>
          </w:tcPr>
          <w:p w14:paraId="59CCCC85"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2.5mg od</w:t>
            </w:r>
          </w:p>
        </w:tc>
        <w:tc>
          <w:tcPr>
            <w:tcW w:w="1701" w:type="dxa"/>
          </w:tcPr>
          <w:p w14:paraId="20CEFB4F"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10mg od (preferably in divided doses)</w:t>
            </w:r>
          </w:p>
        </w:tc>
        <w:tc>
          <w:tcPr>
            <w:tcW w:w="603" w:type="dxa"/>
            <w:tcBorders>
              <w:top w:val="single" w:sz="4" w:space="0" w:color="FFFFFF" w:themeColor="background1"/>
              <w:bottom w:val="single" w:sz="4" w:space="0" w:color="FFFFFF" w:themeColor="background1"/>
              <w:right w:val="single" w:sz="4" w:space="0" w:color="FFFFFF" w:themeColor="background1"/>
            </w:tcBorders>
          </w:tcPr>
          <w:p w14:paraId="3F8BDC3E" w14:textId="77777777" w:rsidR="009B47C8" w:rsidRPr="00430132" w:rsidRDefault="009B47C8" w:rsidP="00F51F5F">
            <w:pPr>
              <w:rPr>
                <w:rFonts w:asciiTheme="majorHAnsi" w:hAnsiTheme="majorHAnsi"/>
                <w:sz w:val="20"/>
                <w:szCs w:val="20"/>
              </w:rPr>
            </w:pPr>
          </w:p>
        </w:tc>
        <w:tc>
          <w:tcPr>
            <w:tcW w:w="1240" w:type="dxa"/>
            <w:tcBorders>
              <w:left w:val="single" w:sz="4" w:space="0" w:color="FFFFFF" w:themeColor="background1"/>
              <w:bottom w:val="single" w:sz="4" w:space="0" w:color="FFFFFF" w:themeColor="background1"/>
              <w:right w:val="single" w:sz="4" w:space="0" w:color="FFFFFF" w:themeColor="background1"/>
            </w:tcBorders>
          </w:tcPr>
          <w:p w14:paraId="738D087E" w14:textId="77777777" w:rsidR="009B47C8" w:rsidRPr="00430132" w:rsidRDefault="009B47C8" w:rsidP="00F51F5F">
            <w:pPr>
              <w:rPr>
                <w:rFonts w:asciiTheme="majorHAnsi" w:hAnsiTheme="majorHAnsi"/>
                <w:sz w:val="20"/>
                <w:szCs w:val="20"/>
              </w:rPr>
            </w:pPr>
          </w:p>
        </w:tc>
        <w:tc>
          <w:tcPr>
            <w:tcW w:w="1457" w:type="dxa"/>
            <w:tcBorders>
              <w:left w:val="single" w:sz="4" w:space="0" w:color="FFFFFF" w:themeColor="background1"/>
              <w:bottom w:val="single" w:sz="4" w:space="0" w:color="FFFFFF" w:themeColor="background1"/>
              <w:right w:val="single" w:sz="4" w:space="0" w:color="FFFFFF" w:themeColor="background1"/>
            </w:tcBorders>
          </w:tcPr>
          <w:p w14:paraId="048BBF0A" w14:textId="77777777" w:rsidR="009B47C8" w:rsidRPr="00430132" w:rsidRDefault="009B47C8" w:rsidP="00F51F5F">
            <w:pPr>
              <w:rPr>
                <w:rFonts w:asciiTheme="majorHAnsi" w:hAnsiTheme="majorHAnsi"/>
                <w:sz w:val="20"/>
                <w:szCs w:val="20"/>
              </w:rPr>
            </w:pPr>
          </w:p>
        </w:tc>
        <w:tc>
          <w:tcPr>
            <w:tcW w:w="1315" w:type="dxa"/>
            <w:tcBorders>
              <w:left w:val="single" w:sz="4" w:space="0" w:color="FFFFFF" w:themeColor="background1"/>
              <w:bottom w:val="single" w:sz="4" w:space="0" w:color="FFFFFF" w:themeColor="background1"/>
              <w:right w:val="single" w:sz="4" w:space="0" w:color="FFFFFF" w:themeColor="background1"/>
            </w:tcBorders>
          </w:tcPr>
          <w:p w14:paraId="002CA074" w14:textId="77777777" w:rsidR="009B47C8" w:rsidRPr="00430132" w:rsidRDefault="009B47C8" w:rsidP="00F51F5F">
            <w:pPr>
              <w:rPr>
                <w:rFonts w:asciiTheme="majorHAnsi" w:hAnsiTheme="majorHAnsi"/>
                <w:sz w:val="20"/>
                <w:szCs w:val="20"/>
              </w:rPr>
            </w:pPr>
          </w:p>
        </w:tc>
      </w:tr>
      <w:tr w:rsidR="009B47C8" w:rsidRPr="00430132" w14:paraId="2BE56EFB" w14:textId="77777777" w:rsidTr="00430132">
        <w:tc>
          <w:tcPr>
            <w:tcW w:w="1448" w:type="dxa"/>
            <w:tcBorders>
              <w:top w:val="single" w:sz="4" w:space="0" w:color="FFFFFF" w:themeColor="background1"/>
              <w:left w:val="single" w:sz="4" w:space="0" w:color="FFFFFF" w:themeColor="background1"/>
              <w:right w:val="single" w:sz="4" w:space="0" w:color="FFFFFF" w:themeColor="background1"/>
            </w:tcBorders>
          </w:tcPr>
          <w:p w14:paraId="608229C5" w14:textId="77777777" w:rsidR="009B47C8" w:rsidRPr="00430132" w:rsidRDefault="009B47C8" w:rsidP="00F51F5F">
            <w:pPr>
              <w:rPr>
                <w:rFonts w:asciiTheme="majorHAnsi" w:hAnsiTheme="majorHAnsi"/>
                <w:sz w:val="20"/>
                <w:szCs w:val="20"/>
              </w:rPr>
            </w:pPr>
          </w:p>
        </w:tc>
        <w:tc>
          <w:tcPr>
            <w:tcW w:w="1637" w:type="dxa"/>
            <w:tcBorders>
              <w:top w:val="single" w:sz="4" w:space="0" w:color="FFFFFF" w:themeColor="background1"/>
              <w:left w:val="single" w:sz="4" w:space="0" w:color="FFFFFF" w:themeColor="background1"/>
              <w:right w:val="single" w:sz="4" w:space="0" w:color="FFFFFF" w:themeColor="background1"/>
            </w:tcBorders>
          </w:tcPr>
          <w:p w14:paraId="7C895483" w14:textId="77777777" w:rsidR="009B47C8" w:rsidRPr="00430132" w:rsidRDefault="009B47C8" w:rsidP="00F51F5F">
            <w:pPr>
              <w:rPr>
                <w:rFonts w:asciiTheme="majorHAnsi" w:hAnsiTheme="majorHAnsi"/>
                <w:sz w:val="20"/>
                <w:szCs w:val="20"/>
              </w:rPr>
            </w:pPr>
          </w:p>
        </w:tc>
        <w:tc>
          <w:tcPr>
            <w:tcW w:w="1701" w:type="dxa"/>
            <w:tcBorders>
              <w:top w:val="single" w:sz="4" w:space="0" w:color="FFFFFF" w:themeColor="background1"/>
              <w:left w:val="single" w:sz="4" w:space="0" w:color="FFFFFF" w:themeColor="background1"/>
              <w:right w:val="single" w:sz="4" w:space="0" w:color="FFFFFF" w:themeColor="background1"/>
            </w:tcBorders>
          </w:tcPr>
          <w:p w14:paraId="3B7C1FA6" w14:textId="77777777" w:rsidR="009B47C8" w:rsidRPr="00430132" w:rsidRDefault="009B47C8" w:rsidP="00F51F5F">
            <w:pPr>
              <w:rPr>
                <w:rFonts w:asciiTheme="majorHAnsi" w:hAnsiTheme="majorHAnsi"/>
                <w:sz w:val="20"/>
                <w:szCs w:val="20"/>
              </w:rPr>
            </w:pPr>
          </w:p>
        </w:tc>
        <w:tc>
          <w:tcPr>
            <w:tcW w:w="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6F91A" w14:textId="77777777" w:rsidR="009B47C8" w:rsidRPr="00430132" w:rsidRDefault="009B47C8" w:rsidP="00F51F5F">
            <w:pPr>
              <w:rPr>
                <w:rFonts w:asciiTheme="majorHAnsi" w:hAnsiTheme="majorHAnsi"/>
                <w:sz w:val="20"/>
                <w:szCs w:val="20"/>
              </w:rPr>
            </w:pPr>
          </w:p>
        </w:tc>
        <w:tc>
          <w:tcPr>
            <w:tcW w:w="1240" w:type="dxa"/>
            <w:tcBorders>
              <w:top w:val="single" w:sz="4" w:space="0" w:color="FFFFFF" w:themeColor="background1"/>
              <w:left w:val="single" w:sz="4" w:space="0" w:color="FFFFFF" w:themeColor="background1"/>
              <w:right w:val="single" w:sz="4" w:space="0" w:color="FFFFFF" w:themeColor="background1"/>
            </w:tcBorders>
          </w:tcPr>
          <w:p w14:paraId="091F0D1A" w14:textId="77777777" w:rsidR="009B47C8" w:rsidRPr="00430132" w:rsidRDefault="009B47C8" w:rsidP="00F51F5F">
            <w:pPr>
              <w:rPr>
                <w:rFonts w:asciiTheme="majorHAnsi" w:hAnsiTheme="majorHAnsi"/>
                <w:sz w:val="20"/>
                <w:szCs w:val="20"/>
              </w:rPr>
            </w:pPr>
          </w:p>
        </w:tc>
        <w:tc>
          <w:tcPr>
            <w:tcW w:w="1457" w:type="dxa"/>
            <w:tcBorders>
              <w:top w:val="single" w:sz="4" w:space="0" w:color="FFFFFF" w:themeColor="background1"/>
              <w:left w:val="single" w:sz="4" w:space="0" w:color="FFFFFF" w:themeColor="background1"/>
              <w:right w:val="single" w:sz="4" w:space="0" w:color="FFFFFF" w:themeColor="background1"/>
            </w:tcBorders>
          </w:tcPr>
          <w:p w14:paraId="074649D5" w14:textId="77777777" w:rsidR="009B47C8" w:rsidRPr="00430132" w:rsidRDefault="009B47C8" w:rsidP="00F51F5F">
            <w:pPr>
              <w:rPr>
                <w:rFonts w:asciiTheme="majorHAnsi" w:hAnsiTheme="majorHAnsi"/>
                <w:sz w:val="20"/>
                <w:szCs w:val="20"/>
              </w:rPr>
            </w:pPr>
          </w:p>
        </w:tc>
        <w:tc>
          <w:tcPr>
            <w:tcW w:w="1315" w:type="dxa"/>
            <w:tcBorders>
              <w:top w:val="single" w:sz="4" w:space="0" w:color="FFFFFF" w:themeColor="background1"/>
              <w:left w:val="single" w:sz="4" w:space="0" w:color="FFFFFF" w:themeColor="background1"/>
              <w:right w:val="single" w:sz="4" w:space="0" w:color="FFFFFF" w:themeColor="background1"/>
            </w:tcBorders>
          </w:tcPr>
          <w:p w14:paraId="2E8B2A60" w14:textId="77777777" w:rsidR="009B47C8" w:rsidRPr="00430132" w:rsidRDefault="009B47C8" w:rsidP="00F51F5F">
            <w:pPr>
              <w:rPr>
                <w:rFonts w:asciiTheme="majorHAnsi" w:hAnsiTheme="majorHAnsi"/>
                <w:sz w:val="20"/>
                <w:szCs w:val="20"/>
              </w:rPr>
            </w:pPr>
          </w:p>
        </w:tc>
      </w:tr>
      <w:tr w:rsidR="009B47C8" w:rsidRPr="00430132" w14:paraId="66B45BF8" w14:textId="77777777" w:rsidTr="00430132">
        <w:tc>
          <w:tcPr>
            <w:tcW w:w="1448" w:type="dxa"/>
          </w:tcPr>
          <w:p w14:paraId="1BDF5F50" w14:textId="77777777" w:rsidR="009B47C8" w:rsidRPr="00430132" w:rsidRDefault="009B47C8" w:rsidP="00F51F5F">
            <w:pPr>
              <w:rPr>
                <w:rFonts w:asciiTheme="majorHAnsi" w:hAnsiTheme="majorHAnsi"/>
                <w:sz w:val="20"/>
                <w:szCs w:val="20"/>
              </w:rPr>
            </w:pPr>
          </w:p>
        </w:tc>
        <w:tc>
          <w:tcPr>
            <w:tcW w:w="1637" w:type="dxa"/>
          </w:tcPr>
          <w:p w14:paraId="63584884"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Starting dose</w:t>
            </w:r>
          </w:p>
        </w:tc>
        <w:tc>
          <w:tcPr>
            <w:tcW w:w="1701" w:type="dxa"/>
          </w:tcPr>
          <w:p w14:paraId="4CE2E298"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Target dose</w:t>
            </w:r>
          </w:p>
        </w:tc>
        <w:tc>
          <w:tcPr>
            <w:tcW w:w="603" w:type="dxa"/>
            <w:tcBorders>
              <w:top w:val="single" w:sz="4" w:space="0" w:color="FFFFFF" w:themeColor="background1"/>
              <w:bottom w:val="single" w:sz="4" w:space="0" w:color="FFFFFF" w:themeColor="background1"/>
            </w:tcBorders>
          </w:tcPr>
          <w:p w14:paraId="371BB79D" w14:textId="77777777" w:rsidR="009B47C8" w:rsidRPr="00430132" w:rsidRDefault="009B47C8" w:rsidP="00F51F5F">
            <w:pPr>
              <w:rPr>
                <w:rFonts w:asciiTheme="majorHAnsi" w:hAnsiTheme="majorHAnsi"/>
                <w:sz w:val="20"/>
                <w:szCs w:val="20"/>
              </w:rPr>
            </w:pPr>
          </w:p>
        </w:tc>
        <w:tc>
          <w:tcPr>
            <w:tcW w:w="1240" w:type="dxa"/>
          </w:tcPr>
          <w:p w14:paraId="3D5FC612" w14:textId="77777777" w:rsidR="009B47C8" w:rsidRPr="00430132" w:rsidRDefault="009B47C8" w:rsidP="00F51F5F">
            <w:pPr>
              <w:rPr>
                <w:rFonts w:asciiTheme="majorHAnsi" w:hAnsiTheme="majorHAnsi"/>
                <w:sz w:val="20"/>
                <w:szCs w:val="20"/>
              </w:rPr>
            </w:pPr>
          </w:p>
        </w:tc>
        <w:tc>
          <w:tcPr>
            <w:tcW w:w="1457" w:type="dxa"/>
          </w:tcPr>
          <w:p w14:paraId="1E3E77AF"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Starting dose</w:t>
            </w:r>
          </w:p>
        </w:tc>
        <w:tc>
          <w:tcPr>
            <w:tcW w:w="1315" w:type="dxa"/>
          </w:tcPr>
          <w:p w14:paraId="5D823190"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Target dose</w:t>
            </w:r>
          </w:p>
        </w:tc>
      </w:tr>
      <w:tr w:rsidR="009B47C8" w:rsidRPr="00430132" w14:paraId="0FCD0B67" w14:textId="77777777" w:rsidTr="00430132">
        <w:tc>
          <w:tcPr>
            <w:tcW w:w="1448" w:type="dxa"/>
            <w:shd w:val="clear" w:color="auto" w:fill="C6D9F1" w:themeFill="text2" w:themeFillTint="33"/>
          </w:tcPr>
          <w:p w14:paraId="30392032" w14:textId="77777777" w:rsidR="009B47C8" w:rsidRPr="00430132" w:rsidRDefault="009B47C8" w:rsidP="00F51F5F">
            <w:pPr>
              <w:rPr>
                <w:rFonts w:asciiTheme="majorHAnsi" w:hAnsiTheme="majorHAnsi"/>
                <w:b/>
                <w:sz w:val="20"/>
                <w:szCs w:val="20"/>
              </w:rPr>
            </w:pPr>
            <w:r w:rsidRPr="00430132">
              <w:rPr>
                <w:rFonts w:asciiTheme="majorHAnsi" w:hAnsiTheme="majorHAnsi"/>
                <w:b/>
                <w:sz w:val="20"/>
                <w:szCs w:val="20"/>
              </w:rPr>
              <w:t>MRA</w:t>
            </w:r>
          </w:p>
        </w:tc>
        <w:tc>
          <w:tcPr>
            <w:tcW w:w="1637" w:type="dxa"/>
            <w:shd w:val="clear" w:color="auto" w:fill="C6D9F1" w:themeFill="text2" w:themeFillTint="33"/>
          </w:tcPr>
          <w:p w14:paraId="1A94F59C" w14:textId="77777777" w:rsidR="009B47C8" w:rsidRPr="00430132" w:rsidRDefault="009B47C8" w:rsidP="00F51F5F">
            <w:pPr>
              <w:rPr>
                <w:rFonts w:asciiTheme="majorHAnsi" w:hAnsiTheme="majorHAnsi"/>
                <w:sz w:val="20"/>
                <w:szCs w:val="20"/>
              </w:rPr>
            </w:pPr>
          </w:p>
        </w:tc>
        <w:tc>
          <w:tcPr>
            <w:tcW w:w="1701" w:type="dxa"/>
            <w:shd w:val="clear" w:color="auto" w:fill="C6D9F1" w:themeFill="text2" w:themeFillTint="33"/>
          </w:tcPr>
          <w:p w14:paraId="5F9F142C" w14:textId="77777777" w:rsidR="009B47C8" w:rsidRPr="00430132" w:rsidRDefault="009B47C8" w:rsidP="00F51F5F">
            <w:pPr>
              <w:rPr>
                <w:rFonts w:asciiTheme="majorHAnsi" w:hAnsiTheme="majorHAnsi"/>
                <w:sz w:val="20"/>
                <w:szCs w:val="20"/>
              </w:rPr>
            </w:pPr>
          </w:p>
        </w:tc>
        <w:tc>
          <w:tcPr>
            <w:tcW w:w="603" w:type="dxa"/>
            <w:tcBorders>
              <w:top w:val="single" w:sz="4" w:space="0" w:color="FFFFFF" w:themeColor="background1"/>
              <w:bottom w:val="single" w:sz="4" w:space="0" w:color="FFFFFF" w:themeColor="background1"/>
            </w:tcBorders>
          </w:tcPr>
          <w:p w14:paraId="74D5C628" w14:textId="77777777" w:rsidR="009B47C8" w:rsidRPr="00430132" w:rsidRDefault="009B47C8" w:rsidP="00F51F5F">
            <w:pPr>
              <w:rPr>
                <w:rFonts w:asciiTheme="majorHAnsi" w:hAnsiTheme="majorHAnsi"/>
                <w:sz w:val="20"/>
                <w:szCs w:val="20"/>
              </w:rPr>
            </w:pPr>
          </w:p>
        </w:tc>
        <w:tc>
          <w:tcPr>
            <w:tcW w:w="1240" w:type="dxa"/>
            <w:shd w:val="clear" w:color="auto" w:fill="C6D9F1" w:themeFill="text2" w:themeFillTint="33"/>
          </w:tcPr>
          <w:p w14:paraId="481FD522" w14:textId="77777777" w:rsidR="009B47C8" w:rsidRPr="00430132" w:rsidRDefault="009B47C8" w:rsidP="00F51F5F">
            <w:pPr>
              <w:rPr>
                <w:rFonts w:asciiTheme="majorHAnsi" w:hAnsiTheme="majorHAnsi"/>
                <w:b/>
                <w:sz w:val="20"/>
                <w:szCs w:val="20"/>
              </w:rPr>
            </w:pPr>
            <w:r w:rsidRPr="00430132">
              <w:rPr>
                <w:rFonts w:asciiTheme="majorHAnsi" w:hAnsiTheme="majorHAnsi"/>
                <w:b/>
                <w:sz w:val="20"/>
                <w:szCs w:val="20"/>
              </w:rPr>
              <w:t>BB</w:t>
            </w:r>
          </w:p>
        </w:tc>
        <w:tc>
          <w:tcPr>
            <w:tcW w:w="1457" w:type="dxa"/>
            <w:shd w:val="clear" w:color="auto" w:fill="C6D9F1" w:themeFill="text2" w:themeFillTint="33"/>
          </w:tcPr>
          <w:p w14:paraId="084042B6" w14:textId="77777777" w:rsidR="009B47C8" w:rsidRPr="00430132" w:rsidRDefault="009B47C8" w:rsidP="00F51F5F">
            <w:pPr>
              <w:rPr>
                <w:rFonts w:asciiTheme="majorHAnsi" w:hAnsiTheme="majorHAnsi"/>
                <w:sz w:val="20"/>
                <w:szCs w:val="20"/>
              </w:rPr>
            </w:pPr>
          </w:p>
        </w:tc>
        <w:tc>
          <w:tcPr>
            <w:tcW w:w="1315" w:type="dxa"/>
            <w:shd w:val="clear" w:color="auto" w:fill="C6D9F1" w:themeFill="text2" w:themeFillTint="33"/>
          </w:tcPr>
          <w:p w14:paraId="244BECED" w14:textId="77777777" w:rsidR="009B47C8" w:rsidRPr="00430132" w:rsidRDefault="009B47C8" w:rsidP="00F51F5F">
            <w:pPr>
              <w:rPr>
                <w:rFonts w:asciiTheme="majorHAnsi" w:hAnsiTheme="majorHAnsi"/>
                <w:sz w:val="20"/>
                <w:szCs w:val="20"/>
              </w:rPr>
            </w:pPr>
          </w:p>
        </w:tc>
      </w:tr>
      <w:tr w:rsidR="009B47C8" w:rsidRPr="00430132" w14:paraId="48656C04" w14:textId="77777777" w:rsidTr="00430132">
        <w:tc>
          <w:tcPr>
            <w:tcW w:w="1448" w:type="dxa"/>
          </w:tcPr>
          <w:p w14:paraId="483B36F3"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Eplerenone</w:t>
            </w:r>
          </w:p>
        </w:tc>
        <w:tc>
          <w:tcPr>
            <w:tcW w:w="1637" w:type="dxa"/>
          </w:tcPr>
          <w:p w14:paraId="22B7DB86"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25mg od</w:t>
            </w:r>
          </w:p>
        </w:tc>
        <w:tc>
          <w:tcPr>
            <w:tcW w:w="1701" w:type="dxa"/>
          </w:tcPr>
          <w:p w14:paraId="026D75F4"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50mg od</w:t>
            </w:r>
          </w:p>
        </w:tc>
        <w:tc>
          <w:tcPr>
            <w:tcW w:w="603" w:type="dxa"/>
            <w:tcBorders>
              <w:top w:val="single" w:sz="4" w:space="0" w:color="FFFFFF" w:themeColor="background1"/>
              <w:bottom w:val="single" w:sz="4" w:space="0" w:color="FFFFFF" w:themeColor="background1"/>
            </w:tcBorders>
          </w:tcPr>
          <w:p w14:paraId="3C52D60D" w14:textId="77777777" w:rsidR="009B47C8" w:rsidRPr="00430132" w:rsidRDefault="009B47C8" w:rsidP="00F51F5F">
            <w:pPr>
              <w:rPr>
                <w:rFonts w:asciiTheme="majorHAnsi" w:hAnsiTheme="majorHAnsi"/>
                <w:sz w:val="20"/>
                <w:szCs w:val="20"/>
              </w:rPr>
            </w:pPr>
          </w:p>
        </w:tc>
        <w:tc>
          <w:tcPr>
            <w:tcW w:w="1240" w:type="dxa"/>
          </w:tcPr>
          <w:p w14:paraId="50EA8458"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Bisoprolol</w:t>
            </w:r>
          </w:p>
        </w:tc>
        <w:tc>
          <w:tcPr>
            <w:tcW w:w="1457" w:type="dxa"/>
          </w:tcPr>
          <w:p w14:paraId="4FE409B9"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1.25mg od</w:t>
            </w:r>
          </w:p>
        </w:tc>
        <w:tc>
          <w:tcPr>
            <w:tcW w:w="1315" w:type="dxa"/>
          </w:tcPr>
          <w:p w14:paraId="7A55CB4E"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10mg od</w:t>
            </w:r>
          </w:p>
        </w:tc>
      </w:tr>
      <w:tr w:rsidR="009B47C8" w:rsidRPr="00430132" w14:paraId="0EF1196C" w14:textId="77777777" w:rsidTr="00430132">
        <w:tc>
          <w:tcPr>
            <w:tcW w:w="1448" w:type="dxa"/>
          </w:tcPr>
          <w:p w14:paraId="75EDB8E1"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Spironolactone</w:t>
            </w:r>
          </w:p>
        </w:tc>
        <w:tc>
          <w:tcPr>
            <w:tcW w:w="1637" w:type="dxa"/>
          </w:tcPr>
          <w:p w14:paraId="3BDA915D"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25mg od</w:t>
            </w:r>
          </w:p>
        </w:tc>
        <w:tc>
          <w:tcPr>
            <w:tcW w:w="1701" w:type="dxa"/>
          </w:tcPr>
          <w:p w14:paraId="4B077FEA"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50mg od</w:t>
            </w:r>
          </w:p>
        </w:tc>
        <w:tc>
          <w:tcPr>
            <w:tcW w:w="603" w:type="dxa"/>
            <w:tcBorders>
              <w:top w:val="single" w:sz="4" w:space="0" w:color="FFFFFF" w:themeColor="background1"/>
              <w:bottom w:val="single" w:sz="4" w:space="0" w:color="FFFFFF" w:themeColor="background1"/>
            </w:tcBorders>
          </w:tcPr>
          <w:p w14:paraId="79C319C2" w14:textId="77777777" w:rsidR="009B47C8" w:rsidRPr="00430132" w:rsidRDefault="009B47C8" w:rsidP="00F51F5F">
            <w:pPr>
              <w:rPr>
                <w:rFonts w:asciiTheme="majorHAnsi" w:hAnsiTheme="majorHAnsi"/>
                <w:sz w:val="20"/>
                <w:szCs w:val="20"/>
              </w:rPr>
            </w:pPr>
          </w:p>
        </w:tc>
        <w:tc>
          <w:tcPr>
            <w:tcW w:w="1240" w:type="dxa"/>
          </w:tcPr>
          <w:p w14:paraId="4CC01AF1"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Carvidolol</w:t>
            </w:r>
          </w:p>
        </w:tc>
        <w:tc>
          <w:tcPr>
            <w:tcW w:w="1457" w:type="dxa"/>
          </w:tcPr>
          <w:p w14:paraId="00D665F3" w14:textId="18D79BFE" w:rsidR="009B47C8" w:rsidRPr="00430132" w:rsidRDefault="00430132" w:rsidP="00F51F5F">
            <w:pPr>
              <w:rPr>
                <w:rFonts w:asciiTheme="majorHAnsi" w:hAnsiTheme="majorHAnsi"/>
                <w:sz w:val="20"/>
                <w:szCs w:val="20"/>
              </w:rPr>
            </w:pPr>
            <w:r>
              <w:rPr>
                <w:rFonts w:asciiTheme="majorHAnsi" w:hAnsiTheme="majorHAnsi"/>
                <w:sz w:val="20"/>
                <w:szCs w:val="20"/>
              </w:rPr>
              <w:t>3.125mg b</w:t>
            </w:r>
            <w:r w:rsidR="009B47C8" w:rsidRPr="00430132">
              <w:rPr>
                <w:rFonts w:asciiTheme="majorHAnsi" w:hAnsiTheme="majorHAnsi"/>
                <w:sz w:val="20"/>
                <w:szCs w:val="20"/>
              </w:rPr>
              <w:t>d</w:t>
            </w:r>
          </w:p>
        </w:tc>
        <w:tc>
          <w:tcPr>
            <w:tcW w:w="1315" w:type="dxa"/>
          </w:tcPr>
          <w:p w14:paraId="3C11B8F3" w14:textId="59FEF904" w:rsidR="009B47C8" w:rsidRPr="00430132" w:rsidRDefault="009B47C8" w:rsidP="00430132">
            <w:pPr>
              <w:rPr>
                <w:rFonts w:asciiTheme="majorHAnsi" w:hAnsiTheme="majorHAnsi"/>
                <w:sz w:val="20"/>
                <w:szCs w:val="20"/>
              </w:rPr>
            </w:pPr>
            <w:r w:rsidRPr="00430132">
              <w:rPr>
                <w:rFonts w:asciiTheme="majorHAnsi" w:hAnsiTheme="majorHAnsi"/>
                <w:sz w:val="20"/>
                <w:szCs w:val="20"/>
              </w:rPr>
              <w:t xml:space="preserve">25mg </w:t>
            </w:r>
            <w:r w:rsidR="00430132">
              <w:rPr>
                <w:rFonts w:asciiTheme="majorHAnsi" w:hAnsiTheme="majorHAnsi"/>
                <w:sz w:val="20"/>
                <w:szCs w:val="20"/>
              </w:rPr>
              <w:t>b</w:t>
            </w:r>
            <w:r w:rsidRPr="00430132">
              <w:rPr>
                <w:rFonts w:asciiTheme="majorHAnsi" w:hAnsiTheme="majorHAnsi"/>
                <w:sz w:val="20"/>
                <w:szCs w:val="20"/>
              </w:rPr>
              <w:t>d</w:t>
            </w:r>
          </w:p>
        </w:tc>
      </w:tr>
      <w:tr w:rsidR="009B47C8" w:rsidRPr="00430132" w14:paraId="1B22CBCF" w14:textId="77777777" w:rsidTr="00430132">
        <w:tc>
          <w:tcPr>
            <w:tcW w:w="1448" w:type="dxa"/>
          </w:tcPr>
          <w:p w14:paraId="52690CB0" w14:textId="77777777" w:rsidR="009B47C8" w:rsidRPr="00430132" w:rsidRDefault="009B47C8" w:rsidP="00F51F5F">
            <w:pPr>
              <w:rPr>
                <w:rFonts w:asciiTheme="majorHAnsi" w:hAnsiTheme="majorHAnsi"/>
                <w:sz w:val="20"/>
                <w:szCs w:val="20"/>
              </w:rPr>
            </w:pPr>
          </w:p>
        </w:tc>
        <w:tc>
          <w:tcPr>
            <w:tcW w:w="1637" w:type="dxa"/>
          </w:tcPr>
          <w:p w14:paraId="2318AE94" w14:textId="77777777" w:rsidR="009B47C8" w:rsidRPr="00430132" w:rsidRDefault="009B47C8" w:rsidP="00F51F5F">
            <w:pPr>
              <w:rPr>
                <w:rFonts w:asciiTheme="majorHAnsi" w:hAnsiTheme="majorHAnsi"/>
                <w:sz w:val="20"/>
                <w:szCs w:val="20"/>
              </w:rPr>
            </w:pPr>
          </w:p>
        </w:tc>
        <w:tc>
          <w:tcPr>
            <w:tcW w:w="1701" w:type="dxa"/>
          </w:tcPr>
          <w:p w14:paraId="04EE3A29" w14:textId="77777777" w:rsidR="009B47C8" w:rsidRPr="00430132" w:rsidRDefault="009B47C8" w:rsidP="00F51F5F">
            <w:pPr>
              <w:rPr>
                <w:rFonts w:asciiTheme="majorHAnsi" w:hAnsiTheme="majorHAnsi"/>
                <w:sz w:val="20"/>
                <w:szCs w:val="20"/>
              </w:rPr>
            </w:pPr>
          </w:p>
        </w:tc>
        <w:tc>
          <w:tcPr>
            <w:tcW w:w="603" w:type="dxa"/>
            <w:tcBorders>
              <w:top w:val="single" w:sz="4" w:space="0" w:color="FFFFFF" w:themeColor="background1"/>
              <w:bottom w:val="single" w:sz="4" w:space="0" w:color="FFFFFF" w:themeColor="background1"/>
            </w:tcBorders>
          </w:tcPr>
          <w:p w14:paraId="4239FAEE" w14:textId="77777777" w:rsidR="009B47C8" w:rsidRPr="00430132" w:rsidRDefault="009B47C8" w:rsidP="00F51F5F">
            <w:pPr>
              <w:rPr>
                <w:rFonts w:asciiTheme="majorHAnsi" w:hAnsiTheme="majorHAnsi"/>
                <w:sz w:val="20"/>
                <w:szCs w:val="20"/>
              </w:rPr>
            </w:pPr>
          </w:p>
        </w:tc>
        <w:tc>
          <w:tcPr>
            <w:tcW w:w="1240" w:type="dxa"/>
          </w:tcPr>
          <w:p w14:paraId="455C539A" w14:textId="77777777" w:rsidR="009B47C8" w:rsidRPr="006B4FE1" w:rsidRDefault="009B47C8" w:rsidP="00F51F5F">
            <w:pPr>
              <w:rPr>
                <w:rFonts w:asciiTheme="majorHAnsi" w:hAnsiTheme="majorHAnsi"/>
                <w:sz w:val="20"/>
                <w:szCs w:val="20"/>
                <w:highlight w:val="yellow"/>
              </w:rPr>
            </w:pPr>
            <w:r w:rsidRPr="006B4FE1">
              <w:rPr>
                <w:rFonts w:asciiTheme="majorHAnsi" w:hAnsiTheme="majorHAnsi"/>
                <w:sz w:val="20"/>
                <w:szCs w:val="20"/>
                <w:highlight w:val="yellow"/>
              </w:rPr>
              <w:t>Nebivolol</w:t>
            </w:r>
          </w:p>
        </w:tc>
        <w:tc>
          <w:tcPr>
            <w:tcW w:w="1457" w:type="dxa"/>
          </w:tcPr>
          <w:p w14:paraId="02001E4E" w14:textId="0CE391B6" w:rsidR="009B47C8" w:rsidRPr="006B4FE1" w:rsidRDefault="00FE3536" w:rsidP="00FE3536">
            <w:pPr>
              <w:rPr>
                <w:rFonts w:asciiTheme="majorHAnsi" w:hAnsiTheme="majorHAnsi"/>
                <w:sz w:val="20"/>
                <w:szCs w:val="20"/>
                <w:highlight w:val="yellow"/>
              </w:rPr>
            </w:pPr>
            <w:r>
              <w:rPr>
                <w:rFonts w:asciiTheme="majorHAnsi" w:hAnsiTheme="majorHAnsi"/>
                <w:sz w:val="20"/>
                <w:szCs w:val="20"/>
                <w:highlight w:val="yellow"/>
              </w:rPr>
              <w:t>1.2</w:t>
            </w:r>
            <w:r w:rsidR="009B47C8" w:rsidRPr="006B4FE1">
              <w:rPr>
                <w:rFonts w:asciiTheme="majorHAnsi" w:hAnsiTheme="majorHAnsi"/>
                <w:sz w:val="20"/>
                <w:szCs w:val="20"/>
                <w:highlight w:val="yellow"/>
              </w:rPr>
              <w:t>5mg od</w:t>
            </w:r>
          </w:p>
        </w:tc>
        <w:tc>
          <w:tcPr>
            <w:tcW w:w="1315" w:type="dxa"/>
          </w:tcPr>
          <w:p w14:paraId="59974444" w14:textId="77777777" w:rsidR="009B47C8" w:rsidRPr="00430132" w:rsidRDefault="009B47C8" w:rsidP="00F51F5F">
            <w:pPr>
              <w:rPr>
                <w:rFonts w:asciiTheme="majorHAnsi" w:hAnsiTheme="majorHAnsi"/>
                <w:sz w:val="20"/>
                <w:szCs w:val="20"/>
              </w:rPr>
            </w:pPr>
            <w:r w:rsidRPr="00430132">
              <w:rPr>
                <w:rFonts w:asciiTheme="majorHAnsi" w:hAnsiTheme="majorHAnsi"/>
                <w:sz w:val="20"/>
                <w:szCs w:val="20"/>
              </w:rPr>
              <w:t>10mg od</w:t>
            </w:r>
          </w:p>
        </w:tc>
      </w:tr>
    </w:tbl>
    <w:p w14:paraId="54999920" w14:textId="77777777" w:rsidR="009B0BC9" w:rsidRDefault="009B0BC9" w:rsidP="00A04B05">
      <w:pPr>
        <w:widowControl w:val="0"/>
        <w:autoSpaceDE w:val="0"/>
        <w:autoSpaceDN w:val="0"/>
        <w:adjustRightInd w:val="0"/>
        <w:rPr>
          <w:rFonts w:ascii="Calibri" w:hAnsi="Calibri" w:cs="Calibri"/>
          <w:b/>
          <w:bCs/>
          <w:sz w:val="22"/>
          <w:szCs w:val="22"/>
        </w:rPr>
      </w:pPr>
    </w:p>
    <w:p w14:paraId="5BE0BF07" w14:textId="77777777" w:rsidR="00430132" w:rsidRDefault="00430132" w:rsidP="00A04B05">
      <w:pPr>
        <w:widowControl w:val="0"/>
        <w:autoSpaceDE w:val="0"/>
        <w:autoSpaceDN w:val="0"/>
        <w:adjustRightInd w:val="0"/>
        <w:rPr>
          <w:rFonts w:ascii="Calibri" w:hAnsi="Calibri" w:cs="Calibri"/>
          <w:b/>
          <w:bCs/>
          <w:sz w:val="22"/>
          <w:szCs w:val="22"/>
        </w:rPr>
      </w:pPr>
    </w:p>
    <w:p w14:paraId="580D51EC" w14:textId="77777777" w:rsidR="00430132" w:rsidRDefault="00430132" w:rsidP="00A04B05">
      <w:pPr>
        <w:widowControl w:val="0"/>
        <w:autoSpaceDE w:val="0"/>
        <w:autoSpaceDN w:val="0"/>
        <w:adjustRightInd w:val="0"/>
        <w:rPr>
          <w:rFonts w:ascii="Calibri" w:hAnsi="Calibri" w:cs="Calibri"/>
          <w:b/>
          <w:bCs/>
          <w:sz w:val="22"/>
          <w:szCs w:val="22"/>
        </w:rPr>
      </w:pPr>
    </w:p>
    <w:p w14:paraId="120CB789" w14:textId="77777777" w:rsidR="00430132" w:rsidRDefault="00430132" w:rsidP="00A04B05">
      <w:pPr>
        <w:widowControl w:val="0"/>
        <w:autoSpaceDE w:val="0"/>
        <w:autoSpaceDN w:val="0"/>
        <w:adjustRightInd w:val="0"/>
        <w:rPr>
          <w:rFonts w:ascii="Calibri" w:hAnsi="Calibri" w:cs="Calibri"/>
          <w:b/>
          <w:bCs/>
          <w:sz w:val="22"/>
          <w:szCs w:val="22"/>
        </w:rPr>
      </w:pPr>
    </w:p>
    <w:p w14:paraId="5CB60C7F" w14:textId="77777777" w:rsidR="00A04B05" w:rsidRDefault="00A04B05" w:rsidP="00A04B05">
      <w:pPr>
        <w:widowControl w:val="0"/>
        <w:autoSpaceDE w:val="0"/>
        <w:autoSpaceDN w:val="0"/>
        <w:adjustRightInd w:val="0"/>
        <w:rPr>
          <w:rFonts w:ascii="Calibri" w:hAnsi="Calibri" w:cs="Calibri"/>
          <w:b/>
          <w:bCs/>
          <w:sz w:val="22"/>
          <w:szCs w:val="22"/>
        </w:rPr>
      </w:pPr>
      <w:r w:rsidRPr="00A04B05">
        <w:rPr>
          <w:rFonts w:ascii="Calibri" w:hAnsi="Calibri" w:cs="Calibri"/>
          <w:b/>
          <w:bCs/>
          <w:sz w:val="22"/>
          <w:szCs w:val="22"/>
        </w:rPr>
        <w:t>Appendix 2: Current device recommendations (summary table)</w:t>
      </w:r>
    </w:p>
    <w:p w14:paraId="4F0A48C4" w14:textId="77777777" w:rsidR="009B0BC9" w:rsidRDefault="009B0BC9" w:rsidP="00A04B05">
      <w:pPr>
        <w:widowControl w:val="0"/>
        <w:autoSpaceDE w:val="0"/>
        <w:autoSpaceDN w:val="0"/>
        <w:adjustRightInd w:val="0"/>
        <w:rPr>
          <w:rFonts w:ascii="Calibri" w:hAnsi="Calibri" w:cs="Calibri"/>
          <w:b/>
          <w:bCs/>
          <w:sz w:val="22"/>
          <w:szCs w:val="22"/>
        </w:rPr>
      </w:pPr>
    </w:p>
    <w:p w14:paraId="1BC2586C" w14:textId="77777777" w:rsidR="00A04B05" w:rsidRDefault="00A04B05" w:rsidP="00A04B05">
      <w:pPr>
        <w:widowControl w:val="0"/>
        <w:autoSpaceDE w:val="0"/>
        <w:autoSpaceDN w:val="0"/>
        <w:adjustRightInd w:val="0"/>
        <w:rPr>
          <w:rFonts w:ascii="Calibri" w:hAnsi="Calibri" w:cs="Calibri"/>
          <w:sz w:val="22"/>
          <w:szCs w:val="22"/>
        </w:rPr>
      </w:pPr>
      <w:r w:rsidRPr="00A04B05">
        <w:rPr>
          <w:rFonts w:ascii="Calibri" w:hAnsi="Calibri" w:cs="Calibri"/>
          <w:sz w:val="22"/>
          <w:szCs w:val="22"/>
        </w:rPr>
        <w:t>Taken from NICE TA 314</w:t>
      </w:r>
    </w:p>
    <w:p w14:paraId="40FF6189" w14:textId="77777777" w:rsidR="00A239A3" w:rsidRPr="00A04B05" w:rsidRDefault="00A239A3" w:rsidP="00A04B05">
      <w:pPr>
        <w:widowControl w:val="0"/>
        <w:autoSpaceDE w:val="0"/>
        <w:autoSpaceDN w:val="0"/>
        <w:adjustRightInd w:val="0"/>
        <w:rPr>
          <w:rFonts w:ascii="Times" w:hAnsi="Times" w:cs="Times"/>
          <w:sz w:val="22"/>
          <w:szCs w:val="22"/>
        </w:rPr>
      </w:pPr>
    </w:p>
    <w:p w14:paraId="09C6DEAF" w14:textId="77777777" w:rsidR="00A04B05" w:rsidRPr="00A04B05" w:rsidRDefault="00A04B05" w:rsidP="00A04B05">
      <w:pPr>
        <w:widowControl w:val="0"/>
        <w:autoSpaceDE w:val="0"/>
        <w:autoSpaceDN w:val="0"/>
        <w:adjustRightInd w:val="0"/>
        <w:rPr>
          <w:rFonts w:ascii="Times" w:hAnsi="Times" w:cs="Times"/>
          <w:sz w:val="22"/>
          <w:szCs w:val="22"/>
        </w:rPr>
      </w:pPr>
      <w:r w:rsidRPr="00A04B05">
        <w:rPr>
          <w:rFonts w:ascii="Times" w:hAnsi="Times" w:cs="Times"/>
          <w:noProof/>
          <w:sz w:val="22"/>
          <w:szCs w:val="22"/>
          <w:lang w:val="en-GB" w:eastAsia="en-GB"/>
        </w:rPr>
        <w:drawing>
          <wp:inline distT="0" distB="0" distL="0" distR="0" wp14:anchorId="2CAE1C73" wp14:editId="2DAC2B21">
            <wp:extent cx="4852817" cy="2505693"/>
            <wp:effectExtent l="0" t="0" r="508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6394" cy="2507540"/>
                    </a:xfrm>
                    <a:prstGeom prst="rect">
                      <a:avLst/>
                    </a:prstGeom>
                    <a:noFill/>
                    <a:ln>
                      <a:noFill/>
                    </a:ln>
                  </pic:spPr>
                </pic:pic>
              </a:graphicData>
            </a:graphic>
          </wp:inline>
        </w:drawing>
      </w:r>
    </w:p>
    <w:p w14:paraId="2D59A2F0" w14:textId="77777777" w:rsidR="00241AF7" w:rsidRDefault="00241AF7" w:rsidP="00A04B05">
      <w:pPr>
        <w:widowControl w:val="0"/>
        <w:autoSpaceDE w:val="0"/>
        <w:autoSpaceDN w:val="0"/>
        <w:adjustRightInd w:val="0"/>
        <w:rPr>
          <w:rFonts w:ascii="Calibri" w:hAnsi="Calibri" w:cs="Calibri"/>
          <w:b/>
          <w:bCs/>
          <w:sz w:val="22"/>
          <w:szCs w:val="22"/>
        </w:rPr>
      </w:pPr>
    </w:p>
    <w:p w14:paraId="62CC8FFA" w14:textId="77777777" w:rsidR="009B0BC9" w:rsidRDefault="009B0BC9" w:rsidP="00A04B05">
      <w:pPr>
        <w:widowControl w:val="0"/>
        <w:autoSpaceDE w:val="0"/>
        <w:autoSpaceDN w:val="0"/>
        <w:adjustRightInd w:val="0"/>
        <w:rPr>
          <w:rFonts w:ascii="Calibri" w:hAnsi="Calibri" w:cs="Calibri"/>
          <w:b/>
          <w:bCs/>
          <w:sz w:val="22"/>
          <w:szCs w:val="22"/>
        </w:rPr>
      </w:pPr>
    </w:p>
    <w:p w14:paraId="5CBC4BE6" w14:textId="77777777" w:rsidR="009B0BC9" w:rsidRDefault="009B0BC9" w:rsidP="00A04B05">
      <w:pPr>
        <w:widowControl w:val="0"/>
        <w:autoSpaceDE w:val="0"/>
        <w:autoSpaceDN w:val="0"/>
        <w:adjustRightInd w:val="0"/>
        <w:rPr>
          <w:rFonts w:ascii="Calibri" w:hAnsi="Calibri" w:cs="Calibri"/>
          <w:b/>
          <w:bCs/>
          <w:sz w:val="22"/>
          <w:szCs w:val="22"/>
        </w:rPr>
      </w:pPr>
    </w:p>
    <w:p w14:paraId="3EB8ADD7" w14:textId="197CFCA4" w:rsidR="00E92181" w:rsidRDefault="009B47C8" w:rsidP="009B47C8">
      <w:pPr>
        <w:widowControl w:val="0"/>
        <w:tabs>
          <w:tab w:val="left" w:pos="4140"/>
        </w:tabs>
        <w:autoSpaceDE w:val="0"/>
        <w:autoSpaceDN w:val="0"/>
        <w:adjustRightInd w:val="0"/>
        <w:rPr>
          <w:rFonts w:ascii="Calibri" w:hAnsi="Calibri" w:cs="Calibri"/>
          <w:b/>
          <w:bCs/>
          <w:sz w:val="22"/>
          <w:szCs w:val="22"/>
        </w:rPr>
      </w:pPr>
      <w:r>
        <w:rPr>
          <w:rFonts w:ascii="Calibri" w:hAnsi="Calibri" w:cs="Calibri"/>
          <w:b/>
          <w:bCs/>
          <w:sz w:val="22"/>
          <w:szCs w:val="22"/>
        </w:rPr>
        <w:tab/>
      </w:r>
    </w:p>
    <w:p w14:paraId="6AF4E1BD" w14:textId="77777777" w:rsidR="009B47C8" w:rsidRDefault="009B47C8" w:rsidP="009B47C8">
      <w:pPr>
        <w:widowControl w:val="0"/>
        <w:tabs>
          <w:tab w:val="left" w:pos="4140"/>
        </w:tabs>
        <w:autoSpaceDE w:val="0"/>
        <w:autoSpaceDN w:val="0"/>
        <w:adjustRightInd w:val="0"/>
        <w:rPr>
          <w:rFonts w:ascii="Calibri" w:hAnsi="Calibri" w:cs="Calibri"/>
          <w:b/>
          <w:bCs/>
          <w:sz w:val="22"/>
          <w:szCs w:val="22"/>
        </w:rPr>
      </w:pPr>
    </w:p>
    <w:p w14:paraId="4F84F869" w14:textId="77777777" w:rsidR="009B47C8" w:rsidRDefault="009B47C8" w:rsidP="009B47C8">
      <w:pPr>
        <w:widowControl w:val="0"/>
        <w:tabs>
          <w:tab w:val="left" w:pos="4140"/>
        </w:tabs>
        <w:autoSpaceDE w:val="0"/>
        <w:autoSpaceDN w:val="0"/>
        <w:adjustRightInd w:val="0"/>
        <w:rPr>
          <w:rFonts w:ascii="Calibri" w:hAnsi="Calibri" w:cs="Calibri"/>
          <w:b/>
          <w:bCs/>
          <w:sz w:val="22"/>
          <w:szCs w:val="22"/>
        </w:rPr>
      </w:pPr>
    </w:p>
    <w:p w14:paraId="25A3E885" w14:textId="77777777" w:rsidR="00430132" w:rsidRDefault="00430132" w:rsidP="009B47C8">
      <w:pPr>
        <w:widowControl w:val="0"/>
        <w:tabs>
          <w:tab w:val="left" w:pos="4140"/>
        </w:tabs>
        <w:autoSpaceDE w:val="0"/>
        <w:autoSpaceDN w:val="0"/>
        <w:adjustRightInd w:val="0"/>
        <w:rPr>
          <w:rFonts w:ascii="Calibri" w:hAnsi="Calibri" w:cs="Calibri"/>
          <w:b/>
          <w:bCs/>
          <w:sz w:val="22"/>
          <w:szCs w:val="22"/>
        </w:rPr>
      </w:pPr>
    </w:p>
    <w:p w14:paraId="1C1BF688" w14:textId="77777777" w:rsidR="00430132" w:rsidRDefault="00430132" w:rsidP="009B47C8">
      <w:pPr>
        <w:widowControl w:val="0"/>
        <w:tabs>
          <w:tab w:val="left" w:pos="4140"/>
        </w:tabs>
        <w:autoSpaceDE w:val="0"/>
        <w:autoSpaceDN w:val="0"/>
        <w:adjustRightInd w:val="0"/>
        <w:rPr>
          <w:rFonts w:ascii="Calibri" w:hAnsi="Calibri" w:cs="Calibri"/>
          <w:b/>
          <w:bCs/>
          <w:sz w:val="22"/>
          <w:szCs w:val="22"/>
        </w:rPr>
      </w:pPr>
    </w:p>
    <w:p w14:paraId="4DF1F18A" w14:textId="77777777" w:rsidR="00E92181" w:rsidRDefault="00E92181" w:rsidP="00A04B05">
      <w:pPr>
        <w:widowControl w:val="0"/>
        <w:autoSpaceDE w:val="0"/>
        <w:autoSpaceDN w:val="0"/>
        <w:adjustRightInd w:val="0"/>
        <w:rPr>
          <w:rFonts w:ascii="Calibri" w:hAnsi="Calibri" w:cs="Calibri"/>
          <w:b/>
          <w:bCs/>
          <w:sz w:val="22"/>
          <w:szCs w:val="22"/>
        </w:rPr>
      </w:pPr>
    </w:p>
    <w:p w14:paraId="46C7892A" w14:textId="20844966" w:rsidR="00A04B05" w:rsidRDefault="00A04B05" w:rsidP="00A04B05">
      <w:pPr>
        <w:widowControl w:val="0"/>
        <w:autoSpaceDE w:val="0"/>
        <w:autoSpaceDN w:val="0"/>
        <w:adjustRightInd w:val="0"/>
        <w:rPr>
          <w:rFonts w:ascii="Calibri" w:hAnsi="Calibri" w:cs="Calibri"/>
          <w:b/>
          <w:bCs/>
          <w:sz w:val="22"/>
          <w:szCs w:val="22"/>
        </w:rPr>
      </w:pPr>
      <w:r w:rsidRPr="00A04B05">
        <w:rPr>
          <w:rFonts w:ascii="Calibri" w:hAnsi="Calibri" w:cs="Calibri"/>
          <w:b/>
          <w:bCs/>
          <w:sz w:val="22"/>
          <w:szCs w:val="22"/>
        </w:rPr>
        <w:t xml:space="preserve">Appendix 3: </w:t>
      </w:r>
      <w:r w:rsidR="00A239A3">
        <w:rPr>
          <w:rFonts w:ascii="Calibri" w:hAnsi="Calibri" w:cs="Calibri"/>
          <w:b/>
          <w:bCs/>
          <w:sz w:val="22"/>
          <w:szCs w:val="22"/>
        </w:rPr>
        <w:t>Treatment algorithm for Heart failure – NICE NG 106</w:t>
      </w:r>
    </w:p>
    <w:p w14:paraId="6FE5E35A" w14:textId="77777777" w:rsidR="009B0BC9" w:rsidRDefault="009B0BC9" w:rsidP="00A04B05">
      <w:pPr>
        <w:widowControl w:val="0"/>
        <w:autoSpaceDE w:val="0"/>
        <w:autoSpaceDN w:val="0"/>
        <w:adjustRightInd w:val="0"/>
        <w:rPr>
          <w:rFonts w:ascii="Times" w:hAnsi="Times" w:cs="Times"/>
          <w:sz w:val="22"/>
          <w:szCs w:val="22"/>
        </w:rPr>
      </w:pPr>
    </w:p>
    <w:p w14:paraId="777416D7" w14:textId="77777777" w:rsidR="00A239A3" w:rsidRPr="00A04B05" w:rsidRDefault="00A239A3" w:rsidP="00A04B05">
      <w:pPr>
        <w:widowControl w:val="0"/>
        <w:autoSpaceDE w:val="0"/>
        <w:autoSpaceDN w:val="0"/>
        <w:adjustRightInd w:val="0"/>
        <w:rPr>
          <w:rFonts w:ascii="Times" w:hAnsi="Times" w:cs="Times"/>
          <w:sz w:val="22"/>
          <w:szCs w:val="22"/>
        </w:rPr>
      </w:pPr>
    </w:p>
    <w:p w14:paraId="614FDE64" w14:textId="784B2FC2" w:rsidR="00A04B05" w:rsidRPr="00A04B05" w:rsidRDefault="00A239A3" w:rsidP="00A04B05">
      <w:pPr>
        <w:widowControl w:val="0"/>
        <w:autoSpaceDE w:val="0"/>
        <w:autoSpaceDN w:val="0"/>
        <w:adjustRightInd w:val="0"/>
        <w:rPr>
          <w:rFonts w:ascii="Times" w:hAnsi="Times" w:cs="Times"/>
          <w:sz w:val="22"/>
          <w:szCs w:val="22"/>
        </w:rPr>
      </w:pPr>
      <w:r>
        <w:rPr>
          <w:rFonts w:ascii="Times" w:hAnsi="Times" w:cs="Times"/>
          <w:noProof/>
          <w:sz w:val="22"/>
          <w:szCs w:val="22"/>
          <w:lang w:val="en-GB" w:eastAsia="en-GB"/>
        </w:rPr>
        <w:drawing>
          <wp:inline distT="0" distB="0" distL="0" distR="0" wp14:anchorId="03B57513" wp14:editId="5BAC33C7">
            <wp:extent cx="6947065" cy="6933823"/>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8266" cy="6935022"/>
                    </a:xfrm>
                    <a:prstGeom prst="rect">
                      <a:avLst/>
                    </a:prstGeom>
                    <a:noFill/>
                    <a:ln>
                      <a:noFill/>
                    </a:ln>
                  </pic:spPr>
                </pic:pic>
              </a:graphicData>
            </a:graphic>
          </wp:inline>
        </w:drawing>
      </w:r>
    </w:p>
    <w:p w14:paraId="50139558" w14:textId="77777777" w:rsidR="00241AF7" w:rsidRDefault="00241AF7" w:rsidP="00A04B05">
      <w:pPr>
        <w:widowControl w:val="0"/>
        <w:autoSpaceDE w:val="0"/>
        <w:autoSpaceDN w:val="0"/>
        <w:adjustRightInd w:val="0"/>
        <w:rPr>
          <w:rFonts w:ascii="Calibri" w:hAnsi="Calibri" w:cs="Calibri"/>
          <w:b/>
          <w:bCs/>
          <w:sz w:val="22"/>
          <w:szCs w:val="22"/>
        </w:rPr>
      </w:pPr>
    </w:p>
    <w:p w14:paraId="1A5523D8" w14:textId="77777777" w:rsidR="00241AF7" w:rsidRDefault="00241AF7" w:rsidP="00A04B05">
      <w:pPr>
        <w:widowControl w:val="0"/>
        <w:autoSpaceDE w:val="0"/>
        <w:autoSpaceDN w:val="0"/>
        <w:adjustRightInd w:val="0"/>
        <w:rPr>
          <w:rFonts w:ascii="Calibri" w:hAnsi="Calibri" w:cs="Calibri"/>
          <w:b/>
          <w:bCs/>
          <w:sz w:val="22"/>
          <w:szCs w:val="22"/>
        </w:rPr>
      </w:pPr>
    </w:p>
    <w:p w14:paraId="4F4CC4E6" w14:textId="77777777" w:rsidR="00241AF7" w:rsidRDefault="00241AF7" w:rsidP="00A04B05">
      <w:pPr>
        <w:widowControl w:val="0"/>
        <w:autoSpaceDE w:val="0"/>
        <w:autoSpaceDN w:val="0"/>
        <w:adjustRightInd w:val="0"/>
        <w:rPr>
          <w:rFonts w:ascii="Calibri" w:hAnsi="Calibri" w:cs="Calibri"/>
          <w:b/>
          <w:bCs/>
          <w:sz w:val="22"/>
          <w:szCs w:val="22"/>
        </w:rPr>
      </w:pPr>
    </w:p>
    <w:p w14:paraId="4F2A8492" w14:textId="77777777" w:rsidR="00241AF7" w:rsidRDefault="00241AF7" w:rsidP="00A04B05">
      <w:pPr>
        <w:widowControl w:val="0"/>
        <w:autoSpaceDE w:val="0"/>
        <w:autoSpaceDN w:val="0"/>
        <w:adjustRightInd w:val="0"/>
        <w:rPr>
          <w:rFonts w:ascii="Calibri" w:hAnsi="Calibri" w:cs="Calibri"/>
          <w:b/>
          <w:bCs/>
          <w:sz w:val="22"/>
          <w:szCs w:val="22"/>
        </w:rPr>
      </w:pPr>
    </w:p>
    <w:p w14:paraId="2D2CA6CA" w14:textId="77777777" w:rsidR="009B0BC9" w:rsidRDefault="009B0BC9" w:rsidP="00A04B05">
      <w:pPr>
        <w:widowControl w:val="0"/>
        <w:autoSpaceDE w:val="0"/>
        <w:autoSpaceDN w:val="0"/>
        <w:adjustRightInd w:val="0"/>
        <w:rPr>
          <w:rFonts w:ascii="Calibri" w:hAnsi="Calibri" w:cs="Calibri"/>
          <w:b/>
          <w:bCs/>
          <w:sz w:val="22"/>
          <w:szCs w:val="22"/>
        </w:rPr>
      </w:pPr>
    </w:p>
    <w:p w14:paraId="25074D61" w14:textId="77777777" w:rsidR="009B0BC9" w:rsidRDefault="009B0BC9" w:rsidP="00A04B05">
      <w:pPr>
        <w:widowControl w:val="0"/>
        <w:autoSpaceDE w:val="0"/>
        <w:autoSpaceDN w:val="0"/>
        <w:adjustRightInd w:val="0"/>
        <w:rPr>
          <w:rFonts w:ascii="Calibri" w:hAnsi="Calibri" w:cs="Calibri"/>
          <w:b/>
          <w:bCs/>
          <w:sz w:val="22"/>
          <w:szCs w:val="22"/>
        </w:rPr>
      </w:pPr>
    </w:p>
    <w:p w14:paraId="24304C58" w14:textId="77777777" w:rsidR="009B0BC9" w:rsidRPr="009B0BC9" w:rsidRDefault="009B0BC9" w:rsidP="009B0BC9">
      <w:pPr>
        <w:pStyle w:val="Default"/>
        <w:rPr>
          <w:rFonts w:asciiTheme="majorHAnsi" w:hAnsiTheme="majorHAnsi"/>
          <w:b/>
          <w:bCs/>
          <w:sz w:val="22"/>
          <w:szCs w:val="22"/>
        </w:rPr>
      </w:pPr>
      <w:r>
        <w:rPr>
          <w:b/>
          <w:bCs/>
          <w:sz w:val="22"/>
          <w:szCs w:val="22"/>
        </w:rPr>
        <w:t>Ap</w:t>
      </w:r>
      <w:r w:rsidRPr="009B0BC9">
        <w:rPr>
          <w:rFonts w:asciiTheme="majorHAnsi" w:hAnsiTheme="majorHAnsi"/>
          <w:b/>
          <w:bCs/>
          <w:sz w:val="22"/>
          <w:szCs w:val="22"/>
        </w:rPr>
        <w:t xml:space="preserve">pendix 4 </w:t>
      </w:r>
    </w:p>
    <w:p w14:paraId="6BED9818" w14:textId="77777777" w:rsidR="009B0BC9" w:rsidRPr="009B0BC9" w:rsidRDefault="009B0BC9" w:rsidP="009B0BC9">
      <w:pPr>
        <w:pStyle w:val="Default"/>
        <w:rPr>
          <w:rFonts w:asciiTheme="majorHAnsi" w:hAnsiTheme="majorHAnsi"/>
          <w:sz w:val="22"/>
          <w:szCs w:val="22"/>
        </w:rPr>
      </w:pPr>
    </w:p>
    <w:p w14:paraId="14F0BF8A" w14:textId="77777777" w:rsidR="009B0BC9" w:rsidRPr="009B0BC9" w:rsidRDefault="009B0BC9" w:rsidP="009B0BC9">
      <w:pPr>
        <w:pStyle w:val="Default"/>
        <w:rPr>
          <w:rFonts w:asciiTheme="majorHAnsi" w:hAnsiTheme="majorHAnsi"/>
          <w:b/>
          <w:bCs/>
          <w:sz w:val="28"/>
          <w:szCs w:val="28"/>
        </w:rPr>
      </w:pPr>
      <w:r w:rsidRPr="009B0BC9">
        <w:rPr>
          <w:rFonts w:asciiTheme="majorHAnsi" w:hAnsiTheme="majorHAnsi"/>
          <w:b/>
          <w:bCs/>
          <w:sz w:val="28"/>
          <w:szCs w:val="28"/>
        </w:rPr>
        <w:t xml:space="preserve">Patient information for those starting on sacubitril valsartan (Entresto®) </w:t>
      </w:r>
    </w:p>
    <w:p w14:paraId="72F0DD7B" w14:textId="77777777" w:rsidR="009B0BC9" w:rsidRPr="009B0BC9" w:rsidRDefault="009B0BC9" w:rsidP="009B0BC9">
      <w:pPr>
        <w:pStyle w:val="Default"/>
        <w:rPr>
          <w:rFonts w:asciiTheme="majorHAnsi" w:hAnsiTheme="majorHAnsi"/>
          <w:sz w:val="28"/>
          <w:szCs w:val="28"/>
        </w:rPr>
      </w:pPr>
    </w:p>
    <w:p w14:paraId="1D6DBB69" w14:textId="77777777" w:rsidR="009B0BC9" w:rsidRPr="009B0BC9" w:rsidRDefault="009B0BC9" w:rsidP="009B0BC9">
      <w:pPr>
        <w:pStyle w:val="Default"/>
        <w:rPr>
          <w:rFonts w:asciiTheme="majorHAnsi" w:hAnsiTheme="majorHAnsi"/>
          <w:sz w:val="22"/>
          <w:szCs w:val="22"/>
        </w:rPr>
      </w:pPr>
      <w:r w:rsidRPr="009B0BC9">
        <w:rPr>
          <w:rFonts w:asciiTheme="majorHAnsi" w:hAnsiTheme="majorHAnsi"/>
          <w:b/>
          <w:bCs/>
          <w:sz w:val="22"/>
          <w:szCs w:val="22"/>
        </w:rPr>
        <w:t xml:space="preserve">What is sacubitril valsartan (Entresto®)? </w:t>
      </w:r>
    </w:p>
    <w:p w14:paraId="15BB6B36" w14:textId="77777777" w:rsidR="009B0BC9" w:rsidRPr="009B0BC9" w:rsidRDefault="009B0BC9" w:rsidP="009B0BC9">
      <w:pPr>
        <w:pStyle w:val="Default"/>
        <w:rPr>
          <w:rFonts w:asciiTheme="majorHAnsi" w:hAnsiTheme="majorHAnsi"/>
          <w:sz w:val="23"/>
          <w:szCs w:val="23"/>
        </w:rPr>
      </w:pPr>
      <w:r w:rsidRPr="009B0BC9">
        <w:rPr>
          <w:rFonts w:asciiTheme="majorHAnsi" w:hAnsiTheme="majorHAnsi"/>
          <w:sz w:val="23"/>
          <w:szCs w:val="23"/>
        </w:rPr>
        <w:t xml:space="preserve">Your clinician has recommended a new treatment for you to reduce the risk of death and hospitalisation in people with certain types of long-lasting (chronic) heart failure. This treatment is used with other heart failure therapies and will replace an ACE inhibitor (such as ramipril or lisinopril) or an ARB therapy (such as candesartan or losartan). The generic name for the drug is sacubitril valsartan while the branded name is Entresto®, for the purpose of this leaflet the brand name will be used throughout. </w:t>
      </w:r>
    </w:p>
    <w:p w14:paraId="520CB5B5" w14:textId="77777777" w:rsidR="009B0BC9" w:rsidRPr="009B0BC9" w:rsidRDefault="009B0BC9" w:rsidP="009B0BC9">
      <w:pPr>
        <w:pStyle w:val="Default"/>
        <w:rPr>
          <w:rFonts w:asciiTheme="majorHAnsi" w:hAnsiTheme="majorHAnsi"/>
          <w:b/>
          <w:bCs/>
          <w:sz w:val="23"/>
          <w:szCs w:val="23"/>
        </w:rPr>
      </w:pPr>
    </w:p>
    <w:p w14:paraId="4CA3B858" w14:textId="77777777" w:rsidR="009B0BC9" w:rsidRPr="009B0BC9" w:rsidRDefault="009B0BC9" w:rsidP="009B0BC9">
      <w:pPr>
        <w:pStyle w:val="Default"/>
        <w:rPr>
          <w:rFonts w:asciiTheme="majorHAnsi" w:hAnsiTheme="majorHAnsi"/>
          <w:sz w:val="23"/>
          <w:szCs w:val="23"/>
        </w:rPr>
      </w:pPr>
      <w:r w:rsidRPr="009B0BC9">
        <w:rPr>
          <w:rFonts w:asciiTheme="majorHAnsi" w:hAnsiTheme="majorHAnsi"/>
          <w:b/>
          <w:bCs/>
          <w:sz w:val="23"/>
          <w:szCs w:val="23"/>
        </w:rPr>
        <w:t xml:space="preserve">Are there side effects of treatment? </w:t>
      </w:r>
    </w:p>
    <w:p w14:paraId="3FE3EEC5" w14:textId="77777777" w:rsidR="009B0BC9" w:rsidRPr="009B0BC9" w:rsidRDefault="009B0BC9" w:rsidP="009B0BC9">
      <w:pPr>
        <w:pStyle w:val="Default"/>
        <w:rPr>
          <w:rFonts w:asciiTheme="majorHAnsi" w:hAnsiTheme="majorHAnsi"/>
          <w:sz w:val="23"/>
          <w:szCs w:val="23"/>
        </w:rPr>
      </w:pPr>
      <w:r w:rsidRPr="009B0BC9">
        <w:rPr>
          <w:rFonts w:asciiTheme="majorHAnsi" w:hAnsiTheme="majorHAnsi"/>
          <w:sz w:val="23"/>
          <w:szCs w:val="23"/>
        </w:rPr>
        <w:t xml:space="preserve">Like all medicines, Entresto® can cause side effects although not everybody gets them. In a large clinical trial comparing Entresto® to an ACE inhibitor, patients in both groups suffered in equal numbers to common side effects as listed below (this is not a complete list but highlights the main side effects): </w:t>
      </w:r>
    </w:p>
    <w:p w14:paraId="264BDD80" w14:textId="77777777" w:rsidR="009B0BC9" w:rsidRPr="009B0BC9" w:rsidRDefault="009B0BC9" w:rsidP="009B0BC9">
      <w:pPr>
        <w:pStyle w:val="Default"/>
        <w:rPr>
          <w:rFonts w:asciiTheme="majorHAnsi" w:hAnsiTheme="majorHAnsi"/>
          <w:b/>
          <w:bCs/>
          <w:sz w:val="23"/>
          <w:szCs w:val="23"/>
        </w:rPr>
      </w:pPr>
    </w:p>
    <w:p w14:paraId="477D3A7C" w14:textId="77777777" w:rsidR="009B0BC9" w:rsidRPr="009B0BC9" w:rsidRDefault="009B0BC9" w:rsidP="009B0BC9">
      <w:pPr>
        <w:pStyle w:val="Default"/>
        <w:rPr>
          <w:rFonts w:asciiTheme="majorHAnsi" w:hAnsiTheme="majorHAnsi"/>
          <w:sz w:val="23"/>
          <w:szCs w:val="23"/>
        </w:rPr>
      </w:pPr>
      <w:r w:rsidRPr="009B0BC9">
        <w:rPr>
          <w:rFonts w:asciiTheme="majorHAnsi" w:hAnsiTheme="majorHAnsi"/>
          <w:b/>
          <w:bCs/>
          <w:sz w:val="23"/>
          <w:szCs w:val="23"/>
        </w:rPr>
        <w:t xml:space="preserve">Very common </w:t>
      </w:r>
      <w:r w:rsidRPr="009B0BC9">
        <w:rPr>
          <w:rFonts w:asciiTheme="majorHAnsi" w:hAnsiTheme="majorHAnsi"/>
          <w:sz w:val="23"/>
          <w:szCs w:val="23"/>
        </w:rPr>
        <w:t xml:space="preserve">(may affect more than 1 in 10 people): </w:t>
      </w:r>
    </w:p>
    <w:p w14:paraId="2A398FB9" w14:textId="77777777" w:rsidR="009B0BC9" w:rsidRPr="009B0BC9" w:rsidRDefault="009B0BC9" w:rsidP="009B0BC9">
      <w:pPr>
        <w:pStyle w:val="Default"/>
        <w:numPr>
          <w:ilvl w:val="0"/>
          <w:numId w:val="12"/>
        </w:numPr>
        <w:rPr>
          <w:rFonts w:asciiTheme="majorHAnsi" w:hAnsiTheme="majorHAnsi"/>
          <w:sz w:val="23"/>
          <w:szCs w:val="23"/>
        </w:rPr>
      </w:pPr>
      <w:r w:rsidRPr="009B0BC9">
        <w:rPr>
          <w:rFonts w:asciiTheme="majorHAnsi" w:hAnsiTheme="majorHAnsi"/>
          <w:sz w:val="23"/>
          <w:szCs w:val="23"/>
        </w:rPr>
        <w:t xml:space="preserve">low blood pressure (dizziness, light-headedness) </w:t>
      </w:r>
    </w:p>
    <w:p w14:paraId="7D4B7C87" w14:textId="77777777" w:rsidR="009B0BC9" w:rsidRPr="009B0BC9" w:rsidRDefault="009B0BC9" w:rsidP="009B0BC9">
      <w:pPr>
        <w:pStyle w:val="Default"/>
        <w:numPr>
          <w:ilvl w:val="0"/>
          <w:numId w:val="12"/>
        </w:numPr>
        <w:rPr>
          <w:rFonts w:asciiTheme="majorHAnsi" w:hAnsiTheme="majorHAnsi"/>
          <w:sz w:val="23"/>
          <w:szCs w:val="23"/>
        </w:rPr>
      </w:pPr>
      <w:r w:rsidRPr="009B0BC9">
        <w:rPr>
          <w:rFonts w:asciiTheme="majorHAnsi" w:hAnsiTheme="majorHAnsi"/>
          <w:sz w:val="23"/>
          <w:szCs w:val="23"/>
        </w:rPr>
        <w:t xml:space="preserve">high level of potassium in the blood (shown in a blood test) </w:t>
      </w:r>
    </w:p>
    <w:p w14:paraId="53F53C74" w14:textId="77777777" w:rsidR="009B0BC9" w:rsidRPr="009B0BC9" w:rsidRDefault="009B0BC9" w:rsidP="009B0BC9">
      <w:pPr>
        <w:pStyle w:val="ListParagraph"/>
        <w:widowControl w:val="0"/>
        <w:numPr>
          <w:ilvl w:val="0"/>
          <w:numId w:val="12"/>
        </w:numPr>
        <w:autoSpaceDE w:val="0"/>
        <w:autoSpaceDN w:val="0"/>
        <w:adjustRightInd w:val="0"/>
        <w:rPr>
          <w:rFonts w:asciiTheme="majorHAnsi" w:hAnsiTheme="majorHAnsi"/>
          <w:sz w:val="23"/>
          <w:szCs w:val="23"/>
        </w:rPr>
      </w:pPr>
      <w:r w:rsidRPr="009B0BC9">
        <w:rPr>
          <w:rFonts w:asciiTheme="majorHAnsi" w:hAnsiTheme="majorHAnsi"/>
          <w:sz w:val="23"/>
          <w:szCs w:val="23"/>
        </w:rPr>
        <w:t>decreased kidney function (kidney impairment)</w:t>
      </w:r>
    </w:p>
    <w:p w14:paraId="021D2043" w14:textId="77777777" w:rsidR="009B0BC9" w:rsidRPr="009B0BC9" w:rsidRDefault="009B0BC9" w:rsidP="00A04B05">
      <w:pPr>
        <w:widowControl w:val="0"/>
        <w:autoSpaceDE w:val="0"/>
        <w:autoSpaceDN w:val="0"/>
        <w:adjustRightInd w:val="0"/>
        <w:rPr>
          <w:rFonts w:asciiTheme="majorHAnsi" w:hAnsiTheme="majorHAnsi"/>
          <w:sz w:val="23"/>
          <w:szCs w:val="23"/>
        </w:rPr>
      </w:pPr>
    </w:p>
    <w:p w14:paraId="326B4FF4" w14:textId="77777777" w:rsidR="009B0BC9" w:rsidRPr="009B0BC9" w:rsidRDefault="009B0BC9" w:rsidP="009B0BC9">
      <w:pPr>
        <w:pStyle w:val="Default"/>
        <w:rPr>
          <w:rFonts w:asciiTheme="majorHAnsi" w:hAnsiTheme="majorHAnsi"/>
          <w:sz w:val="23"/>
          <w:szCs w:val="23"/>
        </w:rPr>
      </w:pPr>
      <w:r w:rsidRPr="009B0BC9">
        <w:rPr>
          <w:rFonts w:asciiTheme="majorHAnsi" w:hAnsiTheme="majorHAnsi"/>
          <w:b/>
          <w:bCs/>
          <w:sz w:val="23"/>
          <w:szCs w:val="23"/>
        </w:rPr>
        <w:t xml:space="preserve">Common </w:t>
      </w:r>
      <w:r w:rsidRPr="009B0BC9">
        <w:rPr>
          <w:rFonts w:asciiTheme="majorHAnsi" w:hAnsiTheme="majorHAnsi"/>
          <w:sz w:val="23"/>
          <w:szCs w:val="23"/>
        </w:rPr>
        <w:t xml:space="preserve">(may affect up to 1 in 10 people): </w:t>
      </w:r>
    </w:p>
    <w:p w14:paraId="59E72486" w14:textId="77777777" w:rsidR="009B0BC9" w:rsidRPr="009B0BC9" w:rsidRDefault="009B0BC9" w:rsidP="009B0BC9">
      <w:pPr>
        <w:pStyle w:val="Default"/>
        <w:numPr>
          <w:ilvl w:val="0"/>
          <w:numId w:val="14"/>
        </w:numPr>
        <w:rPr>
          <w:rFonts w:asciiTheme="majorHAnsi" w:hAnsiTheme="majorHAnsi"/>
          <w:sz w:val="23"/>
          <w:szCs w:val="23"/>
        </w:rPr>
      </w:pPr>
      <w:r w:rsidRPr="009B0BC9">
        <w:rPr>
          <w:rFonts w:asciiTheme="majorHAnsi" w:hAnsiTheme="majorHAnsi"/>
          <w:sz w:val="23"/>
          <w:szCs w:val="23"/>
        </w:rPr>
        <w:t xml:space="preserve">cough </w:t>
      </w:r>
      <w:r w:rsidRPr="009B0BC9">
        <w:rPr>
          <w:rFonts w:asciiTheme="majorHAnsi" w:hAnsiTheme="majorHAnsi"/>
          <w:sz w:val="23"/>
          <w:szCs w:val="23"/>
        </w:rPr>
        <w:tab/>
      </w:r>
      <w:r w:rsidRPr="009B0BC9">
        <w:rPr>
          <w:rFonts w:asciiTheme="majorHAnsi" w:hAnsiTheme="majorHAnsi"/>
          <w:sz w:val="23"/>
          <w:szCs w:val="23"/>
        </w:rPr>
        <w:tab/>
      </w:r>
      <w:r w:rsidRPr="009B0BC9">
        <w:rPr>
          <w:rFonts w:asciiTheme="majorHAnsi" w:hAnsiTheme="majorHAnsi"/>
          <w:sz w:val="23"/>
          <w:szCs w:val="23"/>
        </w:rPr>
        <w:tab/>
        <w:t xml:space="preserve">-  feeling sick (nausea)      </w:t>
      </w:r>
      <w:r w:rsidRPr="009B0BC9">
        <w:rPr>
          <w:rFonts w:asciiTheme="majorHAnsi" w:hAnsiTheme="majorHAnsi"/>
          <w:sz w:val="23"/>
          <w:szCs w:val="23"/>
        </w:rPr>
        <w:tab/>
        <w:t xml:space="preserve">- headache </w:t>
      </w:r>
    </w:p>
    <w:p w14:paraId="13711434" w14:textId="77777777" w:rsidR="009B0BC9" w:rsidRPr="009B0BC9" w:rsidRDefault="009B0BC9" w:rsidP="009B0BC9">
      <w:pPr>
        <w:pStyle w:val="Default"/>
        <w:numPr>
          <w:ilvl w:val="0"/>
          <w:numId w:val="14"/>
        </w:numPr>
        <w:rPr>
          <w:rFonts w:asciiTheme="majorHAnsi" w:hAnsiTheme="majorHAnsi"/>
          <w:sz w:val="23"/>
          <w:szCs w:val="23"/>
        </w:rPr>
      </w:pPr>
      <w:r w:rsidRPr="009B0BC9">
        <w:rPr>
          <w:rFonts w:asciiTheme="majorHAnsi" w:hAnsiTheme="majorHAnsi"/>
          <w:sz w:val="23"/>
          <w:szCs w:val="23"/>
        </w:rPr>
        <w:t xml:space="preserve">dizziness, fainting </w:t>
      </w:r>
      <w:r w:rsidRPr="009B0BC9">
        <w:rPr>
          <w:rFonts w:asciiTheme="majorHAnsi" w:hAnsiTheme="majorHAnsi"/>
          <w:sz w:val="23"/>
          <w:szCs w:val="23"/>
        </w:rPr>
        <w:tab/>
      </w:r>
      <w:r w:rsidRPr="009B0BC9">
        <w:rPr>
          <w:rFonts w:asciiTheme="majorHAnsi" w:hAnsiTheme="majorHAnsi"/>
          <w:sz w:val="23"/>
          <w:szCs w:val="23"/>
        </w:rPr>
        <w:tab/>
        <w:t xml:space="preserve">-  spinning sensation </w:t>
      </w:r>
      <w:r w:rsidRPr="009B0BC9">
        <w:rPr>
          <w:rFonts w:asciiTheme="majorHAnsi" w:hAnsiTheme="majorHAnsi"/>
          <w:sz w:val="23"/>
          <w:szCs w:val="23"/>
        </w:rPr>
        <w:tab/>
      </w:r>
      <w:r w:rsidRPr="009B0BC9">
        <w:rPr>
          <w:rFonts w:asciiTheme="majorHAnsi" w:hAnsiTheme="majorHAnsi"/>
          <w:sz w:val="23"/>
          <w:szCs w:val="23"/>
        </w:rPr>
        <w:tab/>
        <w:t xml:space="preserve">- tiredness, weakness </w:t>
      </w:r>
    </w:p>
    <w:p w14:paraId="7420DB77" w14:textId="77777777" w:rsidR="009B0BC9" w:rsidRPr="009B0BC9" w:rsidRDefault="009B0BC9" w:rsidP="009B0BC9">
      <w:pPr>
        <w:pStyle w:val="Default"/>
        <w:numPr>
          <w:ilvl w:val="0"/>
          <w:numId w:val="14"/>
        </w:numPr>
        <w:rPr>
          <w:rFonts w:asciiTheme="majorHAnsi" w:hAnsiTheme="majorHAnsi"/>
          <w:sz w:val="23"/>
          <w:szCs w:val="23"/>
        </w:rPr>
      </w:pPr>
      <w:r w:rsidRPr="009B0BC9">
        <w:rPr>
          <w:rFonts w:asciiTheme="majorHAnsi" w:hAnsiTheme="majorHAnsi"/>
          <w:sz w:val="23"/>
          <w:szCs w:val="23"/>
        </w:rPr>
        <w:t xml:space="preserve">diarrhoea </w:t>
      </w:r>
      <w:r w:rsidRPr="009B0BC9">
        <w:rPr>
          <w:rFonts w:asciiTheme="majorHAnsi" w:hAnsiTheme="majorHAnsi"/>
          <w:sz w:val="23"/>
          <w:szCs w:val="23"/>
        </w:rPr>
        <w:tab/>
      </w:r>
      <w:r w:rsidRPr="009B0BC9">
        <w:rPr>
          <w:rFonts w:asciiTheme="majorHAnsi" w:hAnsiTheme="majorHAnsi"/>
          <w:sz w:val="23"/>
          <w:szCs w:val="23"/>
        </w:rPr>
        <w:tab/>
      </w:r>
      <w:r w:rsidRPr="009B0BC9">
        <w:rPr>
          <w:rFonts w:asciiTheme="majorHAnsi" w:hAnsiTheme="majorHAnsi"/>
          <w:sz w:val="23"/>
          <w:szCs w:val="23"/>
        </w:rPr>
        <w:tab/>
        <w:t xml:space="preserve">-  inflammation of the lining of the stomach (stomach pain, nausea) </w:t>
      </w:r>
    </w:p>
    <w:p w14:paraId="2B90567F" w14:textId="77777777" w:rsidR="009B0BC9" w:rsidRPr="009B0BC9" w:rsidRDefault="009B0BC9" w:rsidP="009B0BC9">
      <w:pPr>
        <w:pStyle w:val="ListParagraph"/>
        <w:widowControl w:val="0"/>
        <w:numPr>
          <w:ilvl w:val="0"/>
          <w:numId w:val="14"/>
        </w:numPr>
        <w:autoSpaceDE w:val="0"/>
        <w:autoSpaceDN w:val="0"/>
        <w:adjustRightInd w:val="0"/>
        <w:rPr>
          <w:rFonts w:asciiTheme="majorHAnsi" w:hAnsiTheme="majorHAnsi"/>
          <w:sz w:val="23"/>
          <w:szCs w:val="23"/>
        </w:rPr>
      </w:pPr>
      <w:r w:rsidRPr="009B0BC9">
        <w:rPr>
          <w:rFonts w:asciiTheme="majorHAnsi" w:hAnsiTheme="majorHAnsi"/>
          <w:sz w:val="23"/>
          <w:szCs w:val="23"/>
        </w:rPr>
        <w:t xml:space="preserve">(acute) kidney failure (severe kidney disorder) </w:t>
      </w:r>
    </w:p>
    <w:p w14:paraId="5B532020" w14:textId="77777777" w:rsidR="009B0BC9" w:rsidRPr="009B0BC9" w:rsidRDefault="009B0BC9" w:rsidP="00A04B05">
      <w:pPr>
        <w:widowControl w:val="0"/>
        <w:autoSpaceDE w:val="0"/>
        <w:autoSpaceDN w:val="0"/>
        <w:adjustRightInd w:val="0"/>
        <w:rPr>
          <w:rFonts w:asciiTheme="majorHAnsi" w:hAnsiTheme="majorHAnsi"/>
          <w:sz w:val="23"/>
          <w:szCs w:val="23"/>
        </w:rPr>
      </w:pPr>
    </w:p>
    <w:p w14:paraId="1F044B3C" w14:textId="77777777" w:rsidR="009B0BC9" w:rsidRPr="009B0BC9" w:rsidRDefault="009B0BC9" w:rsidP="009B0BC9">
      <w:pPr>
        <w:pStyle w:val="Default"/>
        <w:rPr>
          <w:rFonts w:asciiTheme="majorHAnsi" w:hAnsiTheme="majorHAnsi"/>
          <w:sz w:val="23"/>
          <w:szCs w:val="23"/>
        </w:rPr>
      </w:pPr>
      <w:r w:rsidRPr="009B0BC9">
        <w:rPr>
          <w:rFonts w:asciiTheme="majorHAnsi" w:hAnsiTheme="majorHAnsi"/>
          <w:b/>
          <w:bCs/>
          <w:sz w:val="23"/>
          <w:szCs w:val="23"/>
        </w:rPr>
        <w:t xml:space="preserve">Uncommon </w:t>
      </w:r>
      <w:r w:rsidRPr="009B0BC9">
        <w:rPr>
          <w:rFonts w:asciiTheme="majorHAnsi" w:hAnsiTheme="majorHAnsi"/>
          <w:sz w:val="23"/>
          <w:szCs w:val="23"/>
        </w:rPr>
        <w:t xml:space="preserve">(may affect up to 1 in 100 people): </w:t>
      </w:r>
    </w:p>
    <w:p w14:paraId="02C70DF3" w14:textId="77777777" w:rsidR="009B0BC9" w:rsidRPr="009B0BC9" w:rsidRDefault="009B0BC9" w:rsidP="009B0BC9">
      <w:pPr>
        <w:pStyle w:val="Default"/>
        <w:rPr>
          <w:rFonts w:asciiTheme="majorHAnsi" w:hAnsiTheme="majorHAnsi"/>
          <w:sz w:val="23"/>
          <w:szCs w:val="23"/>
        </w:rPr>
      </w:pPr>
      <w:r w:rsidRPr="009B0BC9">
        <w:rPr>
          <w:rFonts w:asciiTheme="majorHAnsi" w:hAnsiTheme="majorHAnsi"/>
          <w:sz w:val="23"/>
          <w:szCs w:val="23"/>
        </w:rPr>
        <w:t xml:space="preserve">- </w:t>
      </w:r>
      <w:proofErr w:type="gramStart"/>
      <w:r w:rsidRPr="009B0BC9">
        <w:rPr>
          <w:rFonts w:asciiTheme="majorHAnsi" w:hAnsiTheme="majorHAnsi"/>
          <w:sz w:val="23"/>
          <w:szCs w:val="23"/>
        </w:rPr>
        <w:t>allergic</w:t>
      </w:r>
      <w:proofErr w:type="gramEnd"/>
      <w:r w:rsidRPr="009B0BC9">
        <w:rPr>
          <w:rFonts w:asciiTheme="majorHAnsi" w:hAnsiTheme="majorHAnsi"/>
          <w:sz w:val="23"/>
          <w:szCs w:val="23"/>
        </w:rPr>
        <w:t xml:space="preserve"> reaction with rash and itching </w:t>
      </w:r>
    </w:p>
    <w:p w14:paraId="296ECBE4" w14:textId="77777777" w:rsidR="009B0BC9" w:rsidRPr="009B0BC9" w:rsidRDefault="009B0BC9" w:rsidP="009B0BC9">
      <w:pPr>
        <w:pStyle w:val="Default"/>
        <w:rPr>
          <w:rFonts w:asciiTheme="majorHAnsi" w:hAnsiTheme="majorHAnsi"/>
          <w:sz w:val="23"/>
          <w:szCs w:val="23"/>
        </w:rPr>
      </w:pPr>
      <w:r w:rsidRPr="009B0BC9">
        <w:rPr>
          <w:rFonts w:asciiTheme="majorHAnsi" w:hAnsiTheme="majorHAnsi"/>
          <w:sz w:val="23"/>
          <w:szCs w:val="23"/>
        </w:rPr>
        <w:t xml:space="preserve">- </w:t>
      </w:r>
      <w:proofErr w:type="gramStart"/>
      <w:r w:rsidRPr="009B0BC9">
        <w:rPr>
          <w:rFonts w:asciiTheme="majorHAnsi" w:hAnsiTheme="majorHAnsi"/>
          <w:sz w:val="23"/>
          <w:szCs w:val="23"/>
        </w:rPr>
        <w:t>dizziness</w:t>
      </w:r>
      <w:proofErr w:type="gramEnd"/>
      <w:r w:rsidRPr="009B0BC9">
        <w:rPr>
          <w:rFonts w:asciiTheme="majorHAnsi" w:hAnsiTheme="majorHAnsi"/>
          <w:sz w:val="23"/>
          <w:szCs w:val="23"/>
        </w:rPr>
        <w:t xml:space="preserve"> when switching from sitting to standing position </w:t>
      </w:r>
    </w:p>
    <w:p w14:paraId="1A90AE8B" w14:textId="77777777" w:rsidR="009B0BC9" w:rsidRPr="009B0BC9" w:rsidRDefault="009B0BC9" w:rsidP="009B0BC9">
      <w:pPr>
        <w:pStyle w:val="Default"/>
        <w:rPr>
          <w:rFonts w:asciiTheme="majorHAnsi" w:hAnsiTheme="majorHAnsi"/>
          <w:b/>
          <w:bCs/>
          <w:sz w:val="23"/>
          <w:szCs w:val="23"/>
        </w:rPr>
      </w:pPr>
    </w:p>
    <w:p w14:paraId="3B84C444" w14:textId="77777777" w:rsidR="009B0BC9" w:rsidRPr="009B0BC9" w:rsidRDefault="009B0BC9" w:rsidP="009B0BC9">
      <w:pPr>
        <w:pStyle w:val="Default"/>
        <w:rPr>
          <w:rFonts w:asciiTheme="majorHAnsi" w:hAnsiTheme="majorHAnsi"/>
          <w:sz w:val="23"/>
          <w:szCs w:val="23"/>
        </w:rPr>
      </w:pPr>
      <w:r w:rsidRPr="009B0BC9">
        <w:rPr>
          <w:rFonts w:asciiTheme="majorHAnsi" w:hAnsiTheme="majorHAnsi"/>
          <w:b/>
          <w:bCs/>
          <w:sz w:val="23"/>
          <w:szCs w:val="23"/>
        </w:rPr>
        <w:t xml:space="preserve">May be serious. </w:t>
      </w:r>
    </w:p>
    <w:p w14:paraId="6F6A4043" w14:textId="77777777" w:rsidR="009B0BC9" w:rsidRPr="009B0BC9" w:rsidRDefault="009B0BC9" w:rsidP="009B0BC9">
      <w:pPr>
        <w:pStyle w:val="Default"/>
        <w:rPr>
          <w:rFonts w:asciiTheme="majorHAnsi" w:hAnsiTheme="majorHAnsi"/>
          <w:sz w:val="23"/>
          <w:szCs w:val="23"/>
        </w:rPr>
      </w:pPr>
      <w:r w:rsidRPr="009B0BC9">
        <w:rPr>
          <w:rFonts w:asciiTheme="majorHAnsi" w:hAnsiTheme="majorHAnsi"/>
          <w:sz w:val="23"/>
          <w:szCs w:val="23"/>
        </w:rPr>
        <w:t xml:space="preserve">- Stop taking Entresto® and seek immediate medical attention if you notice swelling of the face, lips, tongue and/or throat, which may cause difficulties in breathing or swallowing. These may be signs of angioedema (an uncommon side effect which may affect up to 1 in 100 people). </w:t>
      </w:r>
    </w:p>
    <w:p w14:paraId="5A304931" w14:textId="77777777" w:rsidR="009B0BC9" w:rsidRPr="009B0BC9" w:rsidRDefault="009B0BC9" w:rsidP="009B0BC9">
      <w:pPr>
        <w:pStyle w:val="Default"/>
        <w:rPr>
          <w:rFonts w:asciiTheme="majorHAnsi" w:hAnsiTheme="majorHAnsi"/>
          <w:sz w:val="23"/>
          <w:szCs w:val="23"/>
        </w:rPr>
      </w:pPr>
      <w:r w:rsidRPr="009B0BC9">
        <w:rPr>
          <w:rFonts w:asciiTheme="majorHAnsi" w:hAnsiTheme="majorHAnsi"/>
          <w:sz w:val="23"/>
          <w:szCs w:val="23"/>
        </w:rPr>
        <w:t xml:space="preserve">- British-Caribbean, British-African or African, Caribbean and take Entresto® may have a higher risk of having angioedema than people who are not Black and take Entresto®, although the risk still remains relatively small affecting up to 1 in 100 people. </w:t>
      </w:r>
    </w:p>
    <w:p w14:paraId="0974CA93" w14:textId="77777777" w:rsidR="009B0BC9" w:rsidRPr="009B0BC9" w:rsidRDefault="009B0BC9" w:rsidP="00A04B05">
      <w:pPr>
        <w:widowControl w:val="0"/>
        <w:autoSpaceDE w:val="0"/>
        <w:autoSpaceDN w:val="0"/>
        <w:adjustRightInd w:val="0"/>
        <w:rPr>
          <w:rFonts w:asciiTheme="majorHAnsi" w:hAnsiTheme="majorHAnsi"/>
          <w:sz w:val="23"/>
          <w:szCs w:val="23"/>
        </w:rPr>
      </w:pPr>
    </w:p>
    <w:p w14:paraId="608C20D9" w14:textId="77777777" w:rsidR="009B0BC9" w:rsidRPr="009B0BC9" w:rsidRDefault="009B0BC9" w:rsidP="00A04B05">
      <w:pPr>
        <w:widowControl w:val="0"/>
        <w:autoSpaceDE w:val="0"/>
        <w:autoSpaceDN w:val="0"/>
        <w:adjustRightInd w:val="0"/>
        <w:rPr>
          <w:rFonts w:asciiTheme="majorHAnsi" w:hAnsiTheme="majorHAnsi"/>
          <w:sz w:val="23"/>
          <w:szCs w:val="23"/>
        </w:rPr>
      </w:pPr>
      <w:r w:rsidRPr="009B0BC9">
        <w:rPr>
          <w:rFonts w:asciiTheme="majorHAnsi" w:hAnsiTheme="majorHAnsi"/>
          <w:sz w:val="23"/>
          <w:szCs w:val="23"/>
        </w:rPr>
        <w:t xml:space="preserve">There may be a theoretical increased risk of Alzheimer’s disease. There is on‐going research into this area. In the most recent trail this was not seen but please be aware it was a short trail and further research needs to take place to confirm whether or not there is a risk. </w:t>
      </w:r>
    </w:p>
    <w:p w14:paraId="7AD50E8D" w14:textId="77777777" w:rsidR="009B0BC9" w:rsidRPr="009B0BC9" w:rsidRDefault="009B0BC9" w:rsidP="00A04B05">
      <w:pPr>
        <w:widowControl w:val="0"/>
        <w:autoSpaceDE w:val="0"/>
        <w:autoSpaceDN w:val="0"/>
        <w:adjustRightInd w:val="0"/>
        <w:rPr>
          <w:rFonts w:asciiTheme="majorHAnsi" w:hAnsiTheme="majorHAnsi"/>
          <w:sz w:val="23"/>
          <w:szCs w:val="23"/>
        </w:rPr>
      </w:pPr>
    </w:p>
    <w:p w14:paraId="5A9C42BD" w14:textId="77777777" w:rsidR="00E92181" w:rsidRDefault="00E92181" w:rsidP="009B0BC9">
      <w:pPr>
        <w:pStyle w:val="Default"/>
        <w:rPr>
          <w:rFonts w:asciiTheme="majorHAnsi" w:hAnsiTheme="majorHAnsi"/>
          <w:b/>
          <w:bCs/>
          <w:sz w:val="23"/>
          <w:szCs w:val="23"/>
        </w:rPr>
      </w:pPr>
    </w:p>
    <w:p w14:paraId="37B92EE4" w14:textId="77777777" w:rsidR="009B0BC9" w:rsidRPr="009B0BC9" w:rsidRDefault="009B0BC9" w:rsidP="009B0BC9">
      <w:pPr>
        <w:pStyle w:val="Default"/>
        <w:rPr>
          <w:rFonts w:asciiTheme="majorHAnsi" w:hAnsiTheme="majorHAnsi"/>
          <w:sz w:val="23"/>
          <w:szCs w:val="23"/>
        </w:rPr>
      </w:pPr>
      <w:r w:rsidRPr="009B0BC9">
        <w:rPr>
          <w:rFonts w:asciiTheme="majorHAnsi" w:hAnsiTheme="majorHAnsi"/>
          <w:b/>
          <w:bCs/>
          <w:sz w:val="23"/>
          <w:szCs w:val="23"/>
        </w:rPr>
        <w:t xml:space="preserve">How do I take Entresto®? </w:t>
      </w:r>
    </w:p>
    <w:p w14:paraId="5648BFB0" w14:textId="77777777" w:rsidR="009B0BC9" w:rsidRPr="009B0BC9" w:rsidRDefault="009B0BC9" w:rsidP="009B0BC9">
      <w:pPr>
        <w:pStyle w:val="Default"/>
        <w:rPr>
          <w:rFonts w:asciiTheme="majorHAnsi" w:hAnsiTheme="majorHAnsi"/>
          <w:sz w:val="23"/>
          <w:szCs w:val="23"/>
        </w:rPr>
      </w:pPr>
      <w:r w:rsidRPr="009B0BC9">
        <w:rPr>
          <w:rFonts w:asciiTheme="majorHAnsi" w:hAnsiTheme="majorHAnsi"/>
          <w:sz w:val="23"/>
          <w:szCs w:val="23"/>
        </w:rPr>
        <w:t xml:space="preserve">The starting dose will be determined by a number of factors but you will usually start on a lower dose which will be adjusted depending on how you respond to treatment until the best dose is found for you. The tablet is taken twice a day (once in the morning and again in the evening). It should be taken with a small glass of water and can be taken with or without food. It is advisable to take your medicine at the same time each day. Should you forget to take a dose, you should simply take the next one at the scheduled time. Do not take a double dose to make up for a forgotten tablet. </w:t>
      </w:r>
    </w:p>
    <w:p w14:paraId="3FEE9B21" w14:textId="77777777" w:rsidR="009B0BC9" w:rsidRPr="009B0BC9" w:rsidRDefault="009B0BC9" w:rsidP="009B0BC9">
      <w:pPr>
        <w:pStyle w:val="Default"/>
        <w:rPr>
          <w:rFonts w:asciiTheme="majorHAnsi" w:hAnsiTheme="majorHAnsi"/>
          <w:b/>
          <w:bCs/>
          <w:sz w:val="23"/>
          <w:szCs w:val="23"/>
        </w:rPr>
      </w:pPr>
    </w:p>
    <w:p w14:paraId="3FC212CF" w14:textId="77777777" w:rsidR="009B0BC9" w:rsidRPr="009B0BC9" w:rsidRDefault="009B0BC9" w:rsidP="009B0BC9">
      <w:pPr>
        <w:pStyle w:val="Default"/>
        <w:rPr>
          <w:rFonts w:asciiTheme="majorHAnsi" w:hAnsiTheme="majorHAnsi"/>
          <w:sz w:val="23"/>
          <w:szCs w:val="23"/>
        </w:rPr>
      </w:pPr>
      <w:r w:rsidRPr="009B0BC9">
        <w:rPr>
          <w:rFonts w:asciiTheme="majorHAnsi" w:hAnsiTheme="majorHAnsi"/>
          <w:b/>
          <w:bCs/>
          <w:sz w:val="23"/>
          <w:szCs w:val="23"/>
        </w:rPr>
        <w:t xml:space="preserve">What if I am pregnant or planning to have a family? </w:t>
      </w:r>
    </w:p>
    <w:p w14:paraId="13587687" w14:textId="77777777" w:rsidR="009B0BC9" w:rsidRPr="009B0BC9" w:rsidRDefault="009B0BC9" w:rsidP="009B0BC9">
      <w:pPr>
        <w:pStyle w:val="Default"/>
        <w:rPr>
          <w:rFonts w:asciiTheme="majorHAnsi" w:hAnsiTheme="majorHAnsi"/>
          <w:sz w:val="23"/>
          <w:szCs w:val="23"/>
        </w:rPr>
      </w:pPr>
      <w:r w:rsidRPr="009B0BC9">
        <w:rPr>
          <w:rFonts w:asciiTheme="majorHAnsi" w:hAnsiTheme="majorHAnsi"/>
          <w:sz w:val="23"/>
          <w:szCs w:val="23"/>
        </w:rPr>
        <w:t xml:space="preserve">You must inform your doctor if you think that you are (or might become) pregnant. Your doctor will normally advise you to stop taking this medicine before you become pregnant or as soon as you know you are pregnant, and will advise you to take another medicine instead of Entresto®. This medicine is not recommended in during pregnancy as it may cause serious harm to your baby. Additionally Entresto® is not recommended for mothers who are breastfeeding. Tell your doctor if you are breastfeeding or about to start breastfeeding. </w:t>
      </w:r>
    </w:p>
    <w:p w14:paraId="43C7DF07" w14:textId="77777777" w:rsidR="009B0BC9" w:rsidRPr="009B0BC9" w:rsidRDefault="009B0BC9" w:rsidP="009B0BC9">
      <w:pPr>
        <w:pStyle w:val="Default"/>
        <w:rPr>
          <w:rFonts w:asciiTheme="majorHAnsi" w:hAnsiTheme="majorHAnsi"/>
          <w:b/>
          <w:bCs/>
          <w:sz w:val="23"/>
          <w:szCs w:val="23"/>
        </w:rPr>
      </w:pPr>
    </w:p>
    <w:p w14:paraId="65C3DC0B" w14:textId="77777777" w:rsidR="009B0BC9" w:rsidRPr="009B0BC9" w:rsidRDefault="009B0BC9" w:rsidP="009B0BC9">
      <w:pPr>
        <w:pStyle w:val="Default"/>
        <w:rPr>
          <w:rFonts w:asciiTheme="majorHAnsi" w:hAnsiTheme="majorHAnsi"/>
          <w:sz w:val="23"/>
          <w:szCs w:val="23"/>
        </w:rPr>
      </w:pPr>
      <w:r w:rsidRPr="009B0BC9">
        <w:rPr>
          <w:rFonts w:asciiTheme="majorHAnsi" w:hAnsiTheme="majorHAnsi"/>
          <w:b/>
          <w:bCs/>
          <w:sz w:val="23"/>
          <w:szCs w:val="23"/>
        </w:rPr>
        <w:t xml:space="preserve">Can I drive and/or use machinery while taking Entresto® </w:t>
      </w:r>
    </w:p>
    <w:p w14:paraId="25DD7D4C" w14:textId="77777777" w:rsidR="009B0BC9" w:rsidRPr="009B0BC9" w:rsidRDefault="009B0BC9" w:rsidP="009B0BC9">
      <w:pPr>
        <w:pStyle w:val="Default"/>
        <w:rPr>
          <w:rFonts w:asciiTheme="majorHAnsi" w:hAnsiTheme="majorHAnsi"/>
          <w:sz w:val="23"/>
          <w:szCs w:val="23"/>
        </w:rPr>
      </w:pPr>
      <w:r w:rsidRPr="009B0BC9">
        <w:rPr>
          <w:rFonts w:asciiTheme="majorHAnsi" w:hAnsiTheme="majorHAnsi"/>
          <w:sz w:val="23"/>
          <w:szCs w:val="23"/>
        </w:rPr>
        <w:t xml:space="preserve">Before you drive a vehicle, use tools or operate machines, or carry out other activities that require concentration, make sure you know how Entresto® affects you. If you feel dizzy or very tired while taking this medicine, do not drive a vehicle, cycle or use any tools or machines. </w:t>
      </w:r>
    </w:p>
    <w:p w14:paraId="3D1C8448" w14:textId="77777777" w:rsidR="009B0BC9" w:rsidRPr="009B0BC9" w:rsidRDefault="009B0BC9" w:rsidP="009B0BC9">
      <w:pPr>
        <w:pStyle w:val="Default"/>
        <w:rPr>
          <w:rFonts w:asciiTheme="majorHAnsi" w:hAnsiTheme="majorHAnsi"/>
          <w:b/>
          <w:bCs/>
          <w:sz w:val="23"/>
          <w:szCs w:val="23"/>
        </w:rPr>
      </w:pPr>
    </w:p>
    <w:p w14:paraId="0A0B966D" w14:textId="77777777" w:rsidR="009B0BC9" w:rsidRPr="009B0BC9" w:rsidRDefault="009B0BC9" w:rsidP="009B0BC9">
      <w:pPr>
        <w:pStyle w:val="Default"/>
        <w:rPr>
          <w:rFonts w:asciiTheme="majorHAnsi" w:hAnsiTheme="majorHAnsi"/>
          <w:sz w:val="23"/>
          <w:szCs w:val="23"/>
        </w:rPr>
      </w:pPr>
      <w:r w:rsidRPr="009B0BC9">
        <w:rPr>
          <w:rFonts w:asciiTheme="majorHAnsi" w:hAnsiTheme="majorHAnsi"/>
          <w:b/>
          <w:bCs/>
          <w:sz w:val="23"/>
          <w:szCs w:val="23"/>
        </w:rPr>
        <w:t xml:space="preserve">Other important information </w:t>
      </w:r>
    </w:p>
    <w:p w14:paraId="79968605" w14:textId="77777777" w:rsidR="009B0BC9" w:rsidRPr="009B0BC9" w:rsidRDefault="009B0BC9" w:rsidP="009B0BC9">
      <w:pPr>
        <w:pStyle w:val="Default"/>
        <w:rPr>
          <w:rFonts w:asciiTheme="majorHAnsi" w:hAnsiTheme="majorHAnsi"/>
          <w:sz w:val="23"/>
          <w:szCs w:val="23"/>
        </w:rPr>
      </w:pPr>
      <w:r w:rsidRPr="009B0BC9">
        <w:rPr>
          <w:rFonts w:asciiTheme="majorHAnsi" w:hAnsiTheme="majorHAnsi"/>
          <w:sz w:val="23"/>
          <w:szCs w:val="23"/>
        </w:rPr>
        <w:t xml:space="preserve">It is important that you DO NOT take an ACE inhibitor or an ARB at the same time as Entresto®. Your doctor will advise you to start Entresto® </w:t>
      </w:r>
      <w:r w:rsidRPr="009B0BC9">
        <w:rPr>
          <w:rFonts w:asciiTheme="majorHAnsi" w:hAnsiTheme="majorHAnsi"/>
          <w:b/>
          <w:bCs/>
          <w:sz w:val="23"/>
          <w:szCs w:val="23"/>
        </w:rPr>
        <w:t>at least 36 hours before or after you take an ACE inhibitor medicine</w:t>
      </w:r>
      <w:r w:rsidRPr="009B0BC9">
        <w:rPr>
          <w:rFonts w:asciiTheme="majorHAnsi" w:hAnsiTheme="majorHAnsi"/>
          <w:sz w:val="23"/>
          <w:szCs w:val="23"/>
        </w:rPr>
        <w:t xml:space="preserve">. Talk with your doctor or pharmacist before taking Entresto® if you are not sure if you take an ACE inhibitor medicine. It is advisable that you take any remaining ACE inhibitors or ARBs to your chemist for destruction if you are starting Entresto®, if you are unsure then ask your doctor or pharmacist and they can point out which ones these are. </w:t>
      </w:r>
    </w:p>
    <w:p w14:paraId="1EA07763" w14:textId="77777777" w:rsidR="009B0BC9" w:rsidRPr="009B0BC9" w:rsidRDefault="009B0BC9" w:rsidP="009B0BC9">
      <w:pPr>
        <w:pStyle w:val="Default"/>
        <w:rPr>
          <w:rFonts w:asciiTheme="majorHAnsi" w:hAnsiTheme="majorHAnsi"/>
          <w:b/>
          <w:bCs/>
          <w:sz w:val="23"/>
          <w:szCs w:val="23"/>
        </w:rPr>
      </w:pPr>
    </w:p>
    <w:p w14:paraId="0D10D753" w14:textId="77777777" w:rsidR="009B0BC9" w:rsidRPr="009B0BC9" w:rsidRDefault="009B0BC9" w:rsidP="009B0BC9">
      <w:pPr>
        <w:pStyle w:val="Default"/>
        <w:rPr>
          <w:rFonts w:asciiTheme="majorHAnsi" w:hAnsiTheme="majorHAnsi"/>
          <w:sz w:val="23"/>
          <w:szCs w:val="23"/>
        </w:rPr>
      </w:pPr>
      <w:r w:rsidRPr="009B0BC9">
        <w:rPr>
          <w:rFonts w:asciiTheme="majorHAnsi" w:hAnsiTheme="majorHAnsi"/>
          <w:b/>
          <w:bCs/>
          <w:sz w:val="23"/>
          <w:szCs w:val="23"/>
        </w:rPr>
        <w:t xml:space="preserve">Should I stop my tablets if I’m suffering from diarrhoea and/or sickness during treatment? </w:t>
      </w:r>
    </w:p>
    <w:p w14:paraId="5A215422" w14:textId="77777777" w:rsidR="009B0BC9" w:rsidRPr="009B0BC9" w:rsidRDefault="009B0BC9" w:rsidP="009B0BC9">
      <w:pPr>
        <w:pStyle w:val="Default"/>
        <w:rPr>
          <w:rFonts w:asciiTheme="majorHAnsi" w:hAnsiTheme="majorHAnsi"/>
          <w:sz w:val="23"/>
          <w:szCs w:val="23"/>
        </w:rPr>
      </w:pPr>
      <w:r w:rsidRPr="009B0BC9">
        <w:rPr>
          <w:rFonts w:asciiTheme="majorHAnsi" w:hAnsiTheme="majorHAnsi"/>
          <w:sz w:val="23"/>
          <w:szCs w:val="23"/>
        </w:rPr>
        <w:t xml:space="preserve">Should you suffer from a brief bout of diarrhoea or sickness (less than 2 days), it is recommended from your heart failure team to keep taking your medication. Should you become dehydrated or the illness lasts longer than 2 days without improving, you should seek advice from your heart failure team or GP on whether to continue taking this and other heart failure medication. Depending on your symptoms a blood test to check your kidney function may be requested prior to making a decision. </w:t>
      </w:r>
    </w:p>
    <w:p w14:paraId="4BA5730B" w14:textId="77777777" w:rsidR="009B0BC9" w:rsidRPr="009B0BC9" w:rsidRDefault="009B0BC9" w:rsidP="009B0BC9">
      <w:pPr>
        <w:pStyle w:val="Default"/>
        <w:rPr>
          <w:rFonts w:asciiTheme="majorHAnsi" w:hAnsiTheme="majorHAnsi"/>
          <w:b/>
          <w:bCs/>
          <w:sz w:val="23"/>
          <w:szCs w:val="23"/>
        </w:rPr>
      </w:pPr>
    </w:p>
    <w:p w14:paraId="253B4CE8" w14:textId="77777777" w:rsidR="009B0BC9" w:rsidRPr="009B0BC9" w:rsidRDefault="009B0BC9" w:rsidP="009B0BC9">
      <w:pPr>
        <w:pStyle w:val="Default"/>
        <w:rPr>
          <w:rFonts w:asciiTheme="majorHAnsi" w:hAnsiTheme="majorHAnsi"/>
          <w:sz w:val="23"/>
          <w:szCs w:val="23"/>
        </w:rPr>
      </w:pPr>
      <w:r w:rsidRPr="009B0BC9">
        <w:rPr>
          <w:rFonts w:asciiTheme="majorHAnsi" w:hAnsiTheme="majorHAnsi"/>
          <w:b/>
          <w:bCs/>
          <w:sz w:val="23"/>
          <w:szCs w:val="23"/>
        </w:rPr>
        <w:t xml:space="preserve">Patient alert card </w:t>
      </w:r>
    </w:p>
    <w:p w14:paraId="6F0226F0" w14:textId="77777777" w:rsidR="009B0BC9" w:rsidRPr="009B0BC9" w:rsidRDefault="009B0BC9" w:rsidP="009B0BC9">
      <w:pPr>
        <w:pStyle w:val="Default"/>
        <w:rPr>
          <w:rFonts w:asciiTheme="majorHAnsi" w:hAnsiTheme="majorHAnsi"/>
          <w:sz w:val="23"/>
          <w:szCs w:val="23"/>
        </w:rPr>
      </w:pPr>
      <w:r w:rsidRPr="009B0BC9">
        <w:rPr>
          <w:rFonts w:asciiTheme="majorHAnsi" w:hAnsiTheme="majorHAnsi"/>
          <w:sz w:val="23"/>
          <w:szCs w:val="23"/>
        </w:rPr>
        <w:t xml:space="preserve">The company have developed a “patient alert card” that will be given to you with your first prescription and should be kept with you at all times. The card alerts other health care professionals about the serious interaction between Entresto® and ACE inhibitors and a reminder that it </w:t>
      </w:r>
      <w:r w:rsidRPr="009B0BC9">
        <w:rPr>
          <w:rFonts w:asciiTheme="majorHAnsi" w:hAnsiTheme="majorHAnsi"/>
          <w:b/>
          <w:bCs/>
          <w:i/>
          <w:iCs/>
          <w:sz w:val="23"/>
          <w:szCs w:val="23"/>
        </w:rPr>
        <w:t>should not be prescribed with either ACEi or ARBs</w:t>
      </w:r>
      <w:r w:rsidRPr="009B0BC9">
        <w:rPr>
          <w:rFonts w:asciiTheme="majorHAnsi" w:hAnsiTheme="majorHAnsi"/>
          <w:i/>
          <w:iCs/>
          <w:sz w:val="23"/>
          <w:szCs w:val="23"/>
        </w:rPr>
        <w:t xml:space="preserve">. </w:t>
      </w:r>
    </w:p>
    <w:p w14:paraId="409CAA0B" w14:textId="77777777" w:rsidR="009B0BC9" w:rsidRPr="009B0BC9" w:rsidRDefault="009B0BC9" w:rsidP="00A04B05">
      <w:pPr>
        <w:widowControl w:val="0"/>
        <w:autoSpaceDE w:val="0"/>
        <w:autoSpaceDN w:val="0"/>
        <w:adjustRightInd w:val="0"/>
        <w:rPr>
          <w:rFonts w:asciiTheme="majorHAnsi" w:hAnsiTheme="majorHAnsi"/>
          <w:sz w:val="23"/>
          <w:szCs w:val="23"/>
        </w:rPr>
      </w:pPr>
    </w:p>
    <w:p w14:paraId="55342E5A" w14:textId="77777777" w:rsidR="00241AF7" w:rsidRPr="009B0BC9" w:rsidRDefault="009B0BC9" w:rsidP="00A04B05">
      <w:pPr>
        <w:widowControl w:val="0"/>
        <w:autoSpaceDE w:val="0"/>
        <w:autoSpaceDN w:val="0"/>
        <w:adjustRightInd w:val="0"/>
        <w:rPr>
          <w:rFonts w:asciiTheme="majorHAnsi" w:hAnsiTheme="majorHAnsi" w:cs="Times"/>
          <w:sz w:val="22"/>
          <w:szCs w:val="22"/>
        </w:rPr>
      </w:pPr>
      <w:r w:rsidRPr="009B0BC9">
        <w:rPr>
          <w:rFonts w:asciiTheme="majorHAnsi" w:hAnsiTheme="majorHAnsi"/>
          <w:sz w:val="23"/>
          <w:szCs w:val="23"/>
        </w:rPr>
        <w:t xml:space="preserve">If you have any other questions about starting Entresto®, please be sure to ask your doctor prior to starting treatment.  </w:t>
      </w:r>
    </w:p>
    <w:sectPr w:rsidR="00241AF7" w:rsidRPr="009B0BC9" w:rsidSect="00A04B0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419FC" w14:textId="77777777" w:rsidR="005E4FCB" w:rsidRDefault="005E4FCB" w:rsidP="00A04B05">
      <w:r>
        <w:separator/>
      </w:r>
    </w:p>
  </w:endnote>
  <w:endnote w:type="continuationSeparator" w:id="0">
    <w:p w14:paraId="4898E5D0" w14:textId="77777777" w:rsidR="005E4FCB" w:rsidRDefault="005E4FCB" w:rsidP="00A0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0B8E3" w14:textId="77777777" w:rsidR="00533775" w:rsidRDefault="00533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21F4C" w14:textId="77777777" w:rsidR="00AA5E3D" w:rsidRDefault="00AA5E3D" w:rsidP="000F3724">
    <w:pPr>
      <w:widowControl w:val="0"/>
      <w:autoSpaceDE w:val="0"/>
      <w:autoSpaceDN w:val="0"/>
      <w:adjustRightInd w:val="0"/>
      <w:rPr>
        <w:rFonts w:ascii="Calibri" w:hAnsi="Calibri" w:cs="Calibri"/>
        <w:sz w:val="22"/>
        <w:szCs w:val="22"/>
      </w:rPr>
    </w:pPr>
    <w:r w:rsidRPr="00A04B05">
      <w:rPr>
        <w:rFonts w:ascii="Calibri" w:hAnsi="Calibri" w:cs="Calibri"/>
        <w:sz w:val="22"/>
        <w:szCs w:val="22"/>
      </w:rPr>
      <w:t xml:space="preserve">North East and North Central London Position Statement: Sacubitril valsartan for HFrEF </w:t>
    </w:r>
  </w:p>
  <w:p w14:paraId="70D771AF" w14:textId="7CDB61A1" w:rsidR="00AA5E3D" w:rsidRPr="00A04B05" w:rsidRDefault="00AA5E3D" w:rsidP="000F3724">
    <w:pPr>
      <w:widowControl w:val="0"/>
      <w:autoSpaceDE w:val="0"/>
      <w:autoSpaceDN w:val="0"/>
      <w:adjustRightInd w:val="0"/>
      <w:rPr>
        <w:rFonts w:ascii="Times" w:hAnsi="Times" w:cs="Times"/>
        <w:sz w:val="22"/>
        <w:szCs w:val="22"/>
      </w:rPr>
    </w:pPr>
    <w:r w:rsidRPr="000417E4">
      <w:rPr>
        <w:rFonts w:ascii="Calibri" w:hAnsi="Calibri" w:cs="Calibri"/>
        <w:sz w:val="22"/>
        <w:szCs w:val="22"/>
      </w:rPr>
      <w:t>Date reviewed: January 201</w:t>
    </w:r>
    <w:r>
      <w:rPr>
        <w:rFonts w:ascii="Calibri" w:hAnsi="Calibri" w:cs="Calibri"/>
        <w:sz w:val="22"/>
        <w:szCs w:val="22"/>
      </w:rPr>
      <w:t>9</w:t>
    </w:r>
    <w:r w:rsidRPr="000417E4">
      <w:rPr>
        <w:rFonts w:ascii="Calibri" w:hAnsi="Calibri" w:cs="Calibri"/>
        <w:sz w:val="22"/>
        <w:szCs w:val="22"/>
      </w:rPr>
      <w:t>.  For review: January 2021</w:t>
    </w:r>
  </w:p>
  <w:p w14:paraId="143146EE" w14:textId="2D757329" w:rsidR="00AA5E3D" w:rsidRDefault="00AA5E3D" w:rsidP="000417E4">
    <w:pPr>
      <w:pStyle w:val="Footer"/>
      <w:tabs>
        <w:tab w:val="clear" w:pos="4320"/>
        <w:tab w:val="clear" w:pos="8640"/>
        <w:tab w:val="left" w:pos="394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F5175" w14:textId="77777777" w:rsidR="00533775" w:rsidRDefault="00533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3305B" w14:textId="77777777" w:rsidR="005E4FCB" w:rsidRDefault="005E4FCB" w:rsidP="00A04B05">
      <w:r>
        <w:separator/>
      </w:r>
    </w:p>
  </w:footnote>
  <w:footnote w:type="continuationSeparator" w:id="0">
    <w:p w14:paraId="6A1CD9D9" w14:textId="77777777" w:rsidR="005E4FCB" w:rsidRDefault="005E4FCB" w:rsidP="00A04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A1EBE" w14:textId="519E776B" w:rsidR="00AA5E3D" w:rsidRDefault="00AA5E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4ADC7" w14:textId="691B2670" w:rsidR="00AA5E3D" w:rsidRDefault="00AA5E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EBDC6" w14:textId="475830D1" w:rsidR="00AA5E3D" w:rsidRDefault="00AA5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0F16A6"/>
    <w:multiLevelType w:val="hybridMultilevel"/>
    <w:tmpl w:val="05166EA2"/>
    <w:lvl w:ilvl="0" w:tplc="12CC9D36">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2A3907"/>
    <w:multiLevelType w:val="hybridMultilevel"/>
    <w:tmpl w:val="DA00AA24"/>
    <w:lvl w:ilvl="0" w:tplc="D624D9F8">
      <w:start w:val="1"/>
      <w:numFmt w:val="decimal"/>
      <w:lvlText w:val="%1."/>
      <w:lvlJc w:val="left"/>
      <w:pPr>
        <w:ind w:left="720" w:hanging="360"/>
      </w:pPr>
      <w:rPr>
        <w:rFonts w:asciiTheme="majorHAnsi" w:hAnsiTheme="maj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A7704C"/>
    <w:multiLevelType w:val="hybridMultilevel"/>
    <w:tmpl w:val="A11A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D92484"/>
    <w:multiLevelType w:val="hybridMultilevel"/>
    <w:tmpl w:val="4156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95519E"/>
    <w:multiLevelType w:val="hybridMultilevel"/>
    <w:tmpl w:val="D6F27C12"/>
    <w:lvl w:ilvl="0" w:tplc="22F6A8A6">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222311"/>
    <w:multiLevelType w:val="hybridMultilevel"/>
    <w:tmpl w:val="E5D0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96F54"/>
    <w:multiLevelType w:val="hybridMultilevel"/>
    <w:tmpl w:val="F1169492"/>
    <w:lvl w:ilvl="0" w:tplc="22F6A8A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5167F"/>
    <w:multiLevelType w:val="hybridMultilevel"/>
    <w:tmpl w:val="DAD80C7C"/>
    <w:lvl w:ilvl="0" w:tplc="22F6A8A6">
      <w:start w:val="1"/>
      <w:numFmt w:val="bullet"/>
      <w:lvlText w:val="-"/>
      <w:lvlJc w:val="left"/>
      <w:pPr>
        <w:ind w:left="720" w:hanging="360"/>
      </w:pPr>
      <w:rPr>
        <w:rFonts w:ascii="Courier New" w:hAnsi="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22EC7"/>
    <w:multiLevelType w:val="hybridMultilevel"/>
    <w:tmpl w:val="738E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D43CCE"/>
    <w:multiLevelType w:val="hybridMultilevel"/>
    <w:tmpl w:val="3050DFBE"/>
    <w:lvl w:ilvl="0" w:tplc="22F6A8A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456414"/>
    <w:multiLevelType w:val="hybridMultilevel"/>
    <w:tmpl w:val="CFE03A54"/>
    <w:lvl w:ilvl="0" w:tplc="12CC9D36">
      <w:start w:val="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85E4605"/>
    <w:multiLevelType w:val="hybridMultilevel"/>
    <w:tmpl w:val="1A2A06D2"/>
    <w:lvl w:ilvl="0" w:tplc="22F6A8A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2641FA"/>
    <w:multiLevelType w:val="hybridMultilevel"/>
    <w:tmpl w:val="7E26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B619C"/>
    <w:multiLevelType w:val="hybridMultilevel"/>
    <w:tmpl w:val="68529704"/>
    <w:lvl w:ilvl="0" w:tplc="8E32AAF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4375FA"/>
    <w:multiLevelType w:val="hybridMultilevel"/>
    <w:tmpl w:val="7A4EA71C"/>
    <w:lvl w:ilvl="0" w:tplc="22F6A8A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ED39DE"/>
    <w:multiLevelType w:val="hybridMultilevel"/>
    <w:tmpl w:val="828E0576"/>
    <w:lvl w:ilvl="0" w:tplc="22F6A8A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8B5C50"/>
    <w:multiLevelType w:val="hybridMultilevel"/>
    <w:tmpl w:val="55225DE8"/>
    <w:lvl w:ilvl="0" w:tplc="12CC9D36">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22"/>
  </w:num>
  <w:num w:numId="12">
    <w:abstractNumId w:val="12"/>
  </w:num>
  <w:num w:numId="13">
    <w:abstractNumId w:val="11"/>
  </w:num>
  <w:num w:numId="14">
    <w:abstractNumId w:val="19"/>
  </w:num>
  <w:num w:numId="15">
    <w:abstractNumId w:val="20"/>
  </w:num>
  <w:num w:numId="16">
    <w:abstractNumId w:val="18"/>
  </w:num>
  <w:num w:numId="17">
    <w:abstractNumId w:val="23"/>
  </w:num>
  <w:num w:numId="18">
    <w:abstractNumId w:val="13"/>
  </w:num>
  <w:num w:numId="19">
    <w:abstractNumId w:val="16"/>
  </w:num>
  <w:num w:numId="20">
    <w:abstractNumId w:val="15"/>
  </w:num>
  <w:num w:numId="21">
    <w:abstractNumId w:val="24"/>
  </w:num>
  <w:num w:numId="22">
    <w:abstractNumId w:val="10"/>
  </w:num>
  <w:num w:numId="23">
    <w:abstractNumId w:val="21"/>
  </w:num>
  <w:num w:numId="24">
    <w:abstractNumId w:val="14"/>
  </w:num>
  <w:num w:numId="25">
    <w:abstractNumId w:val="2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05"/>
    <w:rsid w:val="000417E4"/>
    <w:rsid w:val="000F3724"/>
    <w:rsid w:val="001D73BA"/>
    <w:rsid w:val="00220F81"/>
    <w:rsid w:val="00222E65"/>
    <w:rsid w:val="00241AF7"/>
    <w:rsid w:val="00271D53"/>
    <w:rsid w:val="002D6B13"/>
    <w:rsid w:val="00310E13"/>
    <w:rsid w:val="00382130"/>
    <w:rsid w:val="00430132"/>
    <w:rsid w:val="004A760A"/>
    <w:rsid w:val="004B74C5"/>
    <w:rsid w:val="004E044B"/>
    <w:rsid w:val="00533775"/>
    <w:rsid w:val="005E4FCB"/>
    <w:rsid w:val="006201E7"/>
    <w:rsid w:val="00657781"/>
    <w:rsid w:val="00677810"/>
    <w:rsid w:val="006B3262"/>
    <w:rsid w:val="006B4FE1"/>
    <w:rsid w:val="006D45F4"/>
    <w:rsid w:val="00720FBD"/>
    <w:rsid w:val="007A1FFF"/>
    <w:rsid w:val="00834865"/>
    <w:rsid w:val="00837CB5"/>
    <w:rsid w:val="00945314"/>
    <w:rsid w:val="009A645B"/>
    <w:rsid w:val="009B0BC9"/>
    <w:rsid w:val="009B47C8"/>
    <w:rsid w:val="00A04B05"/>
    <w:rsid w:val="00A239A3"/>
    <w:rsid w:val="00A40DDB"/>
    <w:rsid w:val="00A46A42"/>
    <w:rsid w:val="00A954D2"/>
    <w:rsid w:val="00AA5E3D"/>
    <w:rsid w:val="00CA660C"/>
    <w:rsid w:val="00D137BB"/>
    <w:rsid w:val="00D45009"/>
    <w:rsid w:val="00D57642"/>
    <w:rsid w:val="00E2270E"/>
    <w:rsid w:val="00E73225"/>
    <w:rsid w:val="00E92181"/>
    <w:rsid w:val="00FE3536"/>
    <w:rsid w:val="00FE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E40D18"/>
  <w14:defaultImageDpi w14:val="300"/>
  <w15:docId w15:val="{A47A3E0F-89E1-4915-9297-DD86A45D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nhideWhenUsed/>
    <w:qFormat/>
    <w:rsid w:val="004E044B"/>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044B"/>
    <w:rPr>
      <w:rFonts w:eastAsiaTheme="majorEastAsia" w:cstheme="majorBidi"/>
      <w:b/>
      <w:bCs/>
      <w:szCs w:val="26"/>
    </w:rPr>
  </w:style>
  <w:style w:type="paragraph" w:styleId="BalloonText">
    <w:name w:val="Balloon Text"/>
    <w:basedOn w:val="Normal"/>
    <w:link w:val="BalloonTextChar"/>
    <w:uiPriority w:val="99"/>
    <w:semiHidden/>
    <w:unhideWhenUsed/>
    <w:rsid w:val="00A04B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B05"/>
    <w:rPr>
      <w:rFonts w:ascii="Lucida Grande" w:hAnsi="Lucida Grande" w:cs="Lucida Grande"/>
      <w:sz w:val="18"/>
      <w:szCs w:val="18"/>
    </w:rPr>
  </w:style>
  <w:style w:type="paragraph" w:styleId="Header">
    <w:name w:val="header"/>
    <w:basedOn w:val="Normal"/>
    <w:link w:val="HeaderChar"/>
    <w:uiPriority w:val="99"/>
    <w:unhideWhenUsed/>
    <w:rsid w:val="00A04B05"/>
    <w:pPr>
      <w:tabs>
        <w:tab w:val="center" w:pos="4320"/>
        <w:tab w:val="right" w:pos="8640"/>
      </w:tabs>
    </w:pPr>
  </w:style>
  <w:style w:type="character" w:customStyle="1" w:styleId="HeaderChar">
    <w:name w:val="Header Char"/>
    <w:basedOn w:val="DefaultParagraphFont"/>
    <w:link w:val="Header"/>
    <w:uiPriority w:val="99"/>
    <w:rsid w:val="00A04B05"/>
  </w:style>
  <w:style w:type="paragraph" w:styleId="Footer">
    <w:name w:val="footer"/>
    <w:basedOn w:val="Normal"/>
    <w:link w:val="FooterChar"/>
    <w:uiPriority w:val="99"/>
    <w:unhideWhenUsed/>
    <w:rsid w:val="00A04B05"/>
    <w:pPr>
      <w:tabs>
        <w:tab w:val="center" w:pos="4320"/>
        <w:tab w:val="right" w:pos="8640"/>
      </w:tabs>
    </w:pPr>
  </w:style>
  <w:style w:type="character" w:customStyle="1" w:styleId="FooterChar">
    <w:name w:val="Footer Char"/>
    <w:basedOn w:val="DefaultParagraphFont"/>
    <w:link w:val="Footer"/>
    <w:uiPriority w:val="99"/>
    <w:rsid w:val="00A04B05"/>
  </w:style>
  <w:style w:type="character" w:styleId="PageNumber">
    <w:name w:val="page number"/>
    <w:basedOn w:val="DefaultParagraphFont"/>
    <w:uiPriority w:val="99"/>
    <w:semiHidden/>
    <w:unhideWhenUsed/>
    <w:rsid w:val="000F3724"/>
  </w:style>
  <w:style w:type="paragraph" w:styleId="Revision">
    <w:name w:val="Revision"/>
    <w:hidden/>
    <w:uiPriority w:val="99"/>
    <w:semiHidden/>
    <w:rsid w:val="00D45009"/>
  </w:style>
  <w:style w:type="paragraph" w:customStyle="1" w:styleId="Default">
    <w:name w:val="Default"/>
    <w:rsid w:val="009B0BC9"/>
    <w:pPr>
      <w:autoSpaceDE w:val="0"/>
      <w:autoSpaceDN w:val="0"/>
      <w:adjustRightInd w:val="0"/>
    </w:pPr>
    <w:rPr>
      <w:rFonts w:ascii="Calibri" w:hAnsi="Calibri" w:cs="Calibri"/>
      <w:color w:val="000000"/>
      <w:lang w:val="en-GB"/>
    </w:rPr>
  </w:style>
  <w:style w:type="paragraph" w:styleId="ListParagraph">
    <w:name w:val="List Paragraph"/>
    <w:basedOn w:val="Normal"/>
    <w:uiPriority w:val="34"/>
    <w:qFormat/>
    <w:rsid w:val="009B0BC9"/>
    <w:pPr>
      <w:ind w:left="720"/>
      <w:contextualSpacing/>
    </w:pPr>
  </w:style>
  <w:style w:type="character" w:styleId="CommentReference">
    <w:name w:val="annotation reference"/>
    <w:basedOn w:val="DefaultParagraphFont"/>
    <w:uiPriority w:val="99"/>
    <w:semiHidden/>
    <w:unhideWhenUsed/>
    <w:rsid w:val="00945314"/>
    <w:rPr>
      <w:sz w:val="16"/>
      <w:szCs w:val="16"/>
    </w:rPr>
  </w:style>
  <w:style w:type="paragraph" w:styleId="CommentText">
    <w:name w:val="annotation text"/>
    <w:basedOn w:val="Normal"/>
    <w:link w:val="CommentTextChar"/>
    <w:uiPriority w:val="99"/>
    <w:semiHidden/>
    <w:unhideWhenUsed/>
    <w:rsid w:val="00945314"/>
    <w:rPr>
      <w:sz w:val="20"/>
      <w:szCs w:val="20"/>
    </w:rPr>
  </w:style>
  <w:style w:type="character" w:customStyle="1" w:styleId="CommentTextChar">
    <w:name w:val="Comment Text Char"/>
    <w:basedOn w:val="DefaultParagraphFont"/>
    <w:link w:val="CommentText"/>
    <w:uiPriority w:val="99"/>
    <w:semiHidden/>
    <w:rsid w:val="00945314"/>
    <w:rPr>
      <w:sz w:val="20"/>
      <w:szCs w:val="20"/>
    </w:rPr>
  </w:style>
  <w:style w:type="paragraph" w:styleId="CommentSubject">
    <w:name w:val="annotation subject"/>
    <w:basedOn w:val="CommentText"/>
    <w:next w:val="CommentText"/>
    <w:link w:val="CommentSubjectChar"/>
    <w:uiPriority w:val="99"/>
    <w:semiHidden/>
    <w:unhideWhenUsed/>
    <w:rsid w:val="00945314"/>
    <w:rPr>
      <w:b/>
      <w:bCs/>
    </w:rPr>
  </w:style>
  <w:style w:type="character" w:customStyle="1" w:styleId="CommentSubjectChar">
    <w:name w:val="Comment Subject Char"/>
    <w:basedOn w:val="CommentTextChar"/>
    <w:link w:val="CommentSubject"/>
    <w:uiPriority w:val="99"/>
    <w:semiHidden/>
    <w:rsid w:val="00945314"/>
    <w:rPr>
      <w:b/>
      <w:bCs/>
      <w:sz w:val="20"/>
      <w:szCs w:val="20"/>
    </w:rPr>
  </w:style>
  <w:style w:type="paragraph" w:styleId="Title">
    <w:name w:val="Title"/>
    <w:basedOn w:val="Normal"/>
    <w:next w:val="Normal"/>
    <w:link w:val="TitleChar"/>
    <w:uiPriority w:val="10"/>
    <w:qFormat/>
    <w:rsid w:val="00E732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3225"/>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9B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18468">
      <w:bodyDiv w:val="1"/>
      <w:marLeft w:val="0"/>
      <w:marRight w:val="0"/>
      <w:marTop w:val="0"/>
      <w:marBottom w:val="0"/>
      <w:divBdr>
        <w:top w:val="none" w:sz="0" w:space="0" w:color="auto"/>
        <w:left w:val="none" w:sz="0" w:space="0" w:color="auto"/>
        <w:bottom w:val="none" w:sz="0" w:space="0" w:color="auto"/>
        <w:right w:val="none" w:sz="0" w:space="0" w:color="auto"/>
      </w:divBdr>
    </w:div>
    <w:div w:id="787043915">
      <w:bodyDiv w:val="1"/>
      <w:marLeft w:val="0"/>
      <w:marRight w:val="0"/>
      <w:marTop w:val="0"/>
      <w:marBottom w:val="0"/>
      <w:divBdr>
        <w:top w:val="none" w:sz="0" w:space="0" w:color="auto"/>
        <w:left w:val="none" w:sz="0" w:space="0" w:color="auto"/>
        <w:bottom w:val="none" w:sz="0" w:space="0" w:color="auto"/>
        <w:right w:val="none" w:sz="0" w:space="0" w:color="auto"/>
      </w:divBdr>
    </w:div>
    <w:div w:id="1379820093">
      <w:bodyDiv w:val="1"/>
      <w:marLeft w:val="0"/>
      <w:marRight w:val="0"/>
      <w:marTop w:val="0"/>
      <w:marBottom w:val="0"/>
      <w:divBdr>
        <w:top w:val="none" w:sz="0" w:space="0" w:color="auto"/>
        <w:left w:val="none" w:sz="0" w:space="0" w:color="auto"/>
        <w:bottom w:val="none" w:sz="0" w:space="0" w:color="auto"/>
        <w:right w:val="none" w:sz="0" w:space="0" w:color="auto"/>
      </w:divBdr>
    </w:div>
    <w:div w:id="2091346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3DC5ABB010A3409C1B0BC61D57ADCA" ma:contentTypeVersion="19" ma:contentTypeDescription="Create a new document." ma:contentTypeScope="" ma:versionID="719f66a52c604387ed1d78ecfa8d9577">
  <xsd:schema xmlns:xsd="http://www.w3.org/2001/XMLSchema" xmlns:xs="http://www.w3.org/2001/XMLSchema" xmlns:p="http://schemas.microsoft.com/office/2006/metadata/properties" xmlns:ns1="http://schemas.microsoft.com/sharepoint/v3" xmlns:ns2="3569846d-3f8b-41c8-820d-2ff9739a3570" xmlns:ns3="bc5f7bc9-01bf-408b-9c3e-f1a9958c1e1c" targetNamespace="http://schemas.microsoft.com/office/2006/metadata/properties" ma:root="true" ma:fieldsID="f455b302dadf2a8a33ac975d96e19c75" ns1:_="" ns2:_="" ns3:_="">
    <xsd:import namespace="http://schemas.microsoft.com/sharepoint/v3"/>
    <xsd:import namespace="3569846d-3f8b-41c8-820d-2ff9739a3570"/>
    <xsd:import namespace="bc5f7bc9-01bf-408b-9c3e-f1a9958c1e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2:DocumentOwner" minOccurs="0"/>
                <xsd:element ref="ns2:Contex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9846d-3f8b-41c8-820d-2ff9739a3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DocumentOwner" ma:index="23"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xt" ma:index="24" nillable="true" ma:displayName="Context" ma:format="Dropdown" ma:internalName="Context">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f7bc9-01bf-408b-9c3e-f1a9958c1e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2fe2ea-da89-4a5f-8144-cdef18776a3a}" ma:internalName="TaxCatchAll" ma:showField="CatchAllData" ma:web="bc5f7bc9-01bf-408b-9c3e-f1a9958c1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Owner xmlns="3569846d-3f8b-41c8-820d-2ff9739a3570">
      <UserInfo>
        <DisplayName/>
        <AccountId xsi:nil="true"/>
        <AccountType/>
      </UserInfo>
    </DocumentOwner>
    <Context xmlns="3569846d-3f8b-41c8-820d-2ff9739a3570" xsi:nil="true"/>
    <TaxCatchAll xmlns="bc5f7bc9-01bf-408b-9c3e-f1a9958c1e1c" xsi:nil="true"/>
    <lcf76f155ced4ddcb4097134ff3c332f xmlns="3569846d-3f8b-41c8-820d-2ff9739a3570">
      <Terms xmlns="http://schemas.microsoft.com/office/infopath/2007/PartnerControls"/>
    </lcf76f155ced4ddcb4097134ff3c332f>
    <_ip_UnifiedCompliancePolicyProperties xmlns="http://schemas.microsoft.com/sharepoint/v3" xsi:nil="true"/>
    <_Flow_SignoffStatus xmlns="3569846d-3f8b-41c8-820d-2ff9739a3570" xsi:nil="true"/>
  </documentManagement>
</p:properties>
</file>

<file path=customXml/itemProps1.xml><?xml version="1.0" encoding="utf-8"?>
<ds:datastoreItem xmlns:ds="http://schemas.openxmlformats.org/officeDocument/2006/customXml" ds:itemID="{77C01A77-2D0E-4BBB-AC0E-716E51CFFAD2}">
  <ds:schemaRefs>
    <ds:schemaRef ds:uri="http://schemas.openxmlformats.org/officeDocument/2006/bibliography"/>
  </ds:schemaRefs>
</ds:datastoreItem>
</file>

<file path=customXml/itemProps2.xml><?xml version="1.0" encoding="utf-8"?>
<ds:datastoreItem xmlns:ds="http://schemas.openxmlformats.org/officeDocument/2006/customXml" ds:itemID="{1031D97F-7C32-4082-B332-ECC6793BA62A}"/>
</file>

<file path=customXml/itemProps3.xml><?xml version="1.0" encoding="utf-8"?>
<ds:datastoreItem xmlns:ds="http://schemas.openxmlformats.org/officeDocument/2006/customXml" ds:itemID="{98307D69-EB7A-43CC-8DAA-CAA22E483E1A}"/>
</file>

<file path=customXml/itemProps4.xml><?xml version="1.0" encoding="utf-8"?>
<ds:datastoreItem xmlns:ds="http://schemas.openxmlformats.org/officeDocument/2006/customXml" ds:itemID="{803FC9E5-D319-4ABB-94FD-544A21BD3E4E}"/>
</file>

<file path=docProps/app.xml><?xml version="1.0" encoding="utf-8"?>
<Properties xmlns="http://schemas.openxmlformats.org/officeDocument/2006/extended-properties" xmlns:vt="http://schemas.openxmlformats.org/officeDocument/2006/docPropsVTypes">
  <Template>Normal</Template>
  <TotalTime>1</TotalTime>
  <Pages>8</Pages>
  <Words>2754</Words>
  <Characters>15704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Barts Health NHS Trust</Company>
  <LinksUpToDate>false</LinksUpToDate>
  <CharactersWithSpaces>18422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Wright</dc:creator>
  <cp:lastModifiedBy>Jacob, Jasline - Team Administrator - Medicines Management (Tower Hamlets)</cp:lastModifiedBy>
  <cp:revision>2</cp:revision>
  <dcterms:created xsi:type="dcterms:W3CDTF">2020-06-10T15:05:00Z</dcterms:created>
  <dcterms:modified xsi:type="dcterms:W3CDTF">2020-06-10T15:05:00Z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0x010100FA3DC5ABB010A3409C1B0BC61D57ADCA</vt:lpwstr>
  </property>
</Properties>
</file>