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9DC1" w14:textId="77777777" w:rsidR="004A56D1" w:rsidRDefault="004A56D1" w:rsidP="004A56D1">
      <w:pPr>
        <w:jc w:val="center"/>
        <w:rPr>
          <w:rFonts w:asciiTheme="minorHAnsi" w:hAnsiTheme="minorHAnsi"/>
          <w:b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 wp14:anchorId="08189DE7" wp14:editId="08189DE8">
            <wp:simplePos x="0" y="0"/>
            <wp:positionH relativeFrom="column">
              <wp:posOffset>-682625</wp:posOffset>
            </wp:positionH>
            <wp:positionV relativeFrom="paragraph">
              <wp:posOffset>-622122</wp:posOffset>
            </wp:positionV>
            <wp:extent cx="6982460" cy="1067435"/>
            <wp:effectExtent l="0" t="0" r="8890" b="0"/>
            <wp:wrapNone/>
            <wp:docPr id="1" name="Grou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7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89DC2" w14:textId="77777777" w:rsidR="004A56D1" w:rsidRDefault="004A56D1" w:rsidP="004A56D1">
      <w:pPr>
        <w:jc w:val="center"/>
        <w:rPr>
          <w:rFonts w:asciiTheme="minorHAnsi" w:hAnsiTheme="minorHAnsi"/>
          <w:b/>
        </w:rPr>
      </w:pPr>
    </w:p>
    <w:p w14:paraId="08189DC3" w14:textId="77777777" w:rsidR="004A56D1" w:rsidRDefault="00193AB9" w:rsidP="004A56D1">
      <w:pPr>
        <w:jc w:val="center"/>
        <w:rPr>
          <w:rFonts w:asciiTheme="minorHAnsi" w:hAnsiTheme="minorHAnsi"/>
          <w:b/>
        </w:rPr>
      </w:pPr>
      <w:r>
        <w:drawing>
          <wp:inline distT="0" distB="0" distL="0" distR="0" wp14:anchorId="08189DE9" wp14:editId="08189DEA">
            <wp:extent cx="1046074" cy="446227"/>
            <wp:effectExtent l="0" t="0" r="1905" b="0"/>
            <wp:docPr id="4" name="Picture 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14" cy="44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89DC5" w14:textId="77777777" w:rsidR="006C007C" w:rsidRPr="00193AB9" w:rsidRDefault="004A56D1" w:rsidP="004A56D1">
      <w:pPr>
        <w:jc w:val="center"/>
        <w:rPr>
          <w:rFonts w:asciiTheme="minorHAnsi" w:hAnsiTheme="minorHAnsi"/>
          <w:b/>
          <w:sz w:val="32"/>
          <w:szCs w:val="32"/>
        </w:rPr>
      </w:pPr>
      <w:r w:rsidRPr="00193AB9">
        <w:rPr>
          <w:rFonts w:asciiTheme="minorHAnsi" w:hAnsiTheme="minorHAnsi"/>
          <w:b/>
          <w:sz w:val="32"/>
          <w:szCs w:val="32"/>
        </w:rPr>
        <w:t xml:space="preserve">GP </w:t>
      </w:r>
      <w:r w:rsidR="006C007C" w:rsidRPr="00193AB9">
        <w:rPr>
          <w:rFonts w:asciiTheme="minorHAnsi" w:hAnsiTheme="minorHAnsi"/>
          <w:b/>
          <w:sz w:val="32"/>
          <w:szCs w:val="32"/>
        </w:rPr>
        <w:t xml:space="preserve">One Minute Guide to </w:t>
      </w:r>
      <w:r w:rsidR="00B5062B" w:rsidRPr="00193AB9">
        <w:rPr>
          <w:rFonts w:asciiTheme="minorHAnsi" w:hAnsiTheme="minorHAnsi"/>
          <w:b/>
          <w:sz w:val="32"/>
          <w:szCs w:val="32"/>
        </w:rPr>
        <w:t xml:space="preserve">Early Help Support </w:t>
      </w:r>
    </w:p>
    <w:p w14:paraId="08189DC6" w14:textId="77777777" w:rsidR="004A56D1" w:rsidRPr="000F4029" w:rsidRDefault="004A56D1" w:rsidP="004A56D1">
      <w:pPr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1985"/>
        <w:gridCol w:w="9072"/>
      </w:tblGrid>
      <w:tr w:rsidR="006C007C" w:rsidRPr="00232F68" w14:paraId="08189DC9" w14:textId="77777777" w:rsidTr="00193AB9">
        <w:tc>
          <w:tcPr>
            <w:tcW w:w="1985" w:type="dxa"/>
          </w:tcPr>
          <w:p w14:paraId="08189DC7" w14:textId="77777777" w:rsidR="006C007C" w:rsidRPr="00B5062B" w:rsidRDefault="006C007C" w:rsidP="006A6E1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72" w:type="dxa"/>
          </w:tcPr>
          <w:p w14:paraId="08189DC8" w14:textId="77777777" w:rsidR="00DD3727" w:rsidRPr="00B5062B" w:rsidRDefault="009F566D" w:rsidP="00B5062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EARLY HELP HUB (EHH)</w:t>
            </w:r>
          </w:p>
        </w:tc>
      </w:tr>
      <w:tr w:rsidR="006C007C" w:rsidRPr="00232F68" w14:paraId="08189DD8" w14:textId="77777777" w:rsidTr="00193AB9">
        <w:trPr>
          <w:trHeight w:val="9006"/>
        </w:trPr>
        <w:tc>
          <w:tcPr>
            <w:tcW w:w="1985" w:type="dxa"/>
          </w:tcPr>
          <w:p w14:paraId="08189DCA" w14:textId="77777777" w:rsidR="006C007C" w:rsidRPr="00232F68" w:rsidRDefault="006C007C" w:rsidP="0015441A">
            <w:pPr>
              <w:rPr>
                <w:rFonts w:asciiTheme="minorHAnsi" w:hAnsiTheme="minorHAnsi"/>
                <w:sz w:val="22"/>
                <w:szCs w:val="22"/>
              </w:rPr>
            </w:pPr>
            <w:r w:rsidRPr="00232F68">
              <w:rPr>
                <w:rFonts w:asciiTheme="minorHAnsi" w:hAnsiTheme="minorHAnsi"/>
                <w:sz w:val="22"/>
                <w:szCs w:val="22"/>
              </w:rPr>
              <w:t xml:space="preserve">Description </w:t>
            </w:r>
          </w:p>
        </w:tc>
        <w:tc>
          <w:tcPr>
            <w:tcW w:w="9072" w:type="dxa"/>
          </w:tcPr>
          <w:p w14:paraId="08189DCB" w14:textId="77777777" w:rsidR="00F215AC" w:rsidRPr="00F215AC" w:rsidRDefault="00F215AC" w:rsidP="00F215AC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Early Help Hub (EHH) is a key front door for the Early H</w:t>
            </w:r>
            <w:r w:rsidRPr="00F215AC">
              <w:rPr>
                <w:rFonts w:asciiTheme="minorHAnsi" w:hAnsiTheme="minorHAnsi"/>
                <w:sz w:val="22"/>
                <w:szCs w:val="22"/>
              </w:rPr>
              <w:t>elp system. It is an access point between Early Help and the public including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all </w:t>
            </w:r>
            <w:r w:rsidRPr="00F215AC">
              <w:rPr>
                <w:rFonts w:asciiTheme="minorHAnsi" w:hAnsiTheme="minorHAnsi"/>
                <w:sz w:val="22"/>
                <w:szCs w:val="22"/>
              </w:rPr>
              <w:t xml:space="preserve">professionals </w:t>
            </w:r>
            <w:r>
              <w:rPr>
                <w:rFonts w:asciiTheme="minorHAnsi" w:hAnsiTheme="minorHAnsi"/>
                <w:sz w:val="22"/>
                <w:szCs w:val="22"/>
              </w:rPr>
              <w:t>working</w:t>
            </w:r>
            <w:r w:rsidRPr="00F215AC">
              <w:rPr>
                <w:rFonts w:asciiTheme="minorHAnsi" w:hAnsiTheme="minorHAnsi"/>
                <w:sz w:val="22"/>
                <w:szCs w:val="22"/>
              </w:rPr>
              <w:t xml:space="preserve"> with children, young people and their families within the local community and across the authority. The aim of the EHH is to improve communications and information sharing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between </w:t>
            </w:r>
            <w:r w:rsidRPr="00F215AC">
              <w:rPr>
                <w:rFonts w:asciiTheme="minorHAnsi" w:hAnsiTheme="minorHAnsi"/>
                <w:sz w:val="22"/>
                <w:szCs w:val="22"/>
              </w:rPr>
              <w:t>internal and external partners and to support more effective delivery of Early Help services where there is a need for a multi-agency response. The EHH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has five</w:t>
            </w:r>
            <w:r w:rsidRPr="00F215AC">
              <w:rPr>
                <w:rFonts w:asciiTheme="minorHAnsi" w:hAnsiTheme="minorHAnsi"/>
                <w:sz w:val="22"/>
                <w:szCs w:val="22"/>
              </w:rPr>
              <w:t xml:space="preserve"> main functions: </w:t>
            </w:r>
          </w:p>
          <w:p w14:paraId="08189DCC" w14:textId="77777777" w:rsidR="00F215AC" w:rsidRPr="00DD3727" w:rsidRDefault="00F215AC" w:rsidP="00F215AC">
            <w:pPr>
              <w:tabs>
                <w:tab w:val="left" w:pos="709"/>
              </w:tabs>
              <w:ind w:left="709" w:hanging="70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8189DCD" w14:textId="4836FE7E" w:rsidR="00B5062B" w:rsidRDefault="00B5062B" w:rsidP="00B5062B">
            <w:pPr>
              <w:pStyle w:val="ListParagraph"/>
              <w:numPr>
                <w:ilvl w:val="0"/>
                <w:numId w:val="3"/>
              </w:numPr>
              <w:ind w:left="993" w:right="80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06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Provides a telephone access point offering  information, advice and guidance on Early Help </w:t>
            </w:r>
            <w:r w:rsidRPr="00B5062B">
              <w:rPr>
                <w:rFonts w:asciiTheme="minorHAnsi" w:hAnsiTheme="minorHAnsi"/>
                <w:sz w:val="22"/>
                <w:szCs w:val="22"/>
              </w:rPr>
              <w:t xml:space="preserve"> to the public and professionals who have queries about children who may need a coordinated response.</w:t>
            </w:r>
          </w:p>
          <w:p w14:paraId="08189DCE" w14:textId="77777777" w:rsidR="00F215AC" w:rsidRDefault="00B5062B" w:rsidP="00F215AC">
            <w:pPr>
              <w:pStyle w:val="ListParagraph"/>
              <w:numPr>
                <w:ilvl w:val="0"/>
                <w:numId w:val="3"/>
              </w:numPr>
              <w:ind w:left="993" w:right="80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062B">
              <w:rPr>
                <w:rFonts w:asciiTheme="minorHAnsi" w:hAnsiTheme="minorHAnsi"/>
                <w:b/>
                <w:bCs/>
                <w:sz w:val="22"/>
                <w:szCs w:val="22"/>
              </w:rPr>
              <w:t>Supporting Practitioners</w:t>
            </w:r>
            <w:r w:rsidRPr="00B5062B">
              <w:rPr>
                <w:rFonts w:asciiTheme="minorHAnsi" w:hAnsiTheme="minorHAnsi"/>
                <w:sz w:val="22"/>
                <w:szCs w:val="22"/>
              </w:rPr>
              <w:t xml:space="preserve"> to complete assessments and convene Team Around the Family (TAF) meetings by offering advice and guidance</w:t>
            </w:r>
            <w:r w:rsidR="00F215AC" w:rsidRPr="00F215A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189DCF" w14:textId="77777777" w:rsidR="00B5062B" w:rsidRPr="00B5062B" w:rsidRDefault="00B5062B" w:rsidP="00B5062B">
            <w:pPr>
              <w:pStyle w:val="ListParagraph"/>
              <w:numPr>
                <w:ilvl w:val="0"/>
                <w:numId w:val="3"/>
              </w:numPr>
              <w:ind w:left="993" w:right="80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062B">
              <w:rPr>
                <w:rFonts w:asciiTheme="minorHAnsi" w:hAnsiTheme="minorHAnsi"/>
                <w:b/>
                <w:bCs/>
                <w:sz w:val="22"/>
                <w:szCs w:val="22"/>
              </w:rPr>
              <w:t>Screening Early Help enquiries</w:t>
            </w:r>
            <w:r w:rsidRPr="00B5062B">
              <w:rPr>
                <w:rFonts w:asciiTheme="minorHAnsi" w:hAnsiTheme="minorHAnsi"/>
                <w:sz w:val="22"/>
                <w:szCs w:val="22"/>
              </w:rPr>
              <w:t xml:space="preserve"> to ensure that there is an appropriate level of response for children, young people and their families which also includes cases referred across </w:t>
            </w:r>
            <w:r>
              <w:rPr>
                <w:rFonts w:asciiTheme="minorHAnsi" w:hAnsiTheme="minorHAnsi"/>
                <w:sz w:val="22"/>
                <w:szCs w:val="22"/>
              </w:rPr>
              <w:t>from MASH (where the threshold for statutory intervention is not met).</w:t>
            </w:r>
          </w:p>
          <w:p w14:paraId="08189DD0" w14:textId="2CFB5BDE" w:rsidR="00B5062B" w:rsidRDefault="00B5062B" w:rsidP="00B5062B">
            <w:pPr>
              <w:pStyle w:val="ListParagraph"/>
              <w:numPr>
                <w:ilvl w:val="0"/>
                <w:numId w:val="3"/>
              </w:numPr>
              <w:ind w:left="993" w:right="80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5062B">
              <w:rPr>
                <w:rFonts w:asciiTheme="minorHAnsi" w:hAnsiTheme="minorHAnsi"/>
                <w:b/>
                <w:bCs/>
                <w:sz w:val="22"/>
                <w:szCs w:val="22"/>
              </w:rPr>
              <w:t>Short term direct work with families</w:t>
            </w:r>
            <w:r w:rsidRPr="00B5062B">
              <w:rPr>
                <w:rFonts w:asciiTheme="minorHAnsi" w:hAnsiTheme="minorHAnsi"/>
                <w:sz w:val="22"/>
                <w:szCs w:val="22"/>
              </w:rPr>
              <w:t xml:space="preserve"> to assess need and to identify the most appropriate Lead Professional who can complete the Early Help Assessment (EHA) (if level 2 needs are identified) and co-ordinate the family action plan.</w:t>
            </w:r>
          </w:p>
          <w:p w14:paraId="42000F5E" w14:textId="5D49248C" w:rsidR="00FC03FD" w:rsidRDefault="00FC03FD" w:rsidP="00B5062B">
            <w:pPr>
              <w:pStyle w:val="ListParagraph"/>
              <w:numPr>
                <w:ilvl w:val="0"/>
                <w:numId w:val="3"/>
              </w:numPr>
              <w:ind w:left="993" w:right="80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Front Door for Early Help Birth to 19 Family Support Service</w:t>
            </w:r>
          </w:p>
          <w:p w14:paraId="08189DD1" w14:textId="77777777" w:rsidR="009F566D" w:rsidRPr="000F4029" w:rsidRDefault="009F566D" w:rsidP="009F566D">
            <w:pPr>
              <w:pStyle w:val="ListParagraph"/>
              <w:ind w:left="993" w:right="804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08189DD2" w14:textId="77777777" w:rsidR="009F566D" w:rsidRPr="009F566D" w:rsidRDefault="00B5062B" w:rsidP="009F566D">
            <w:pPr>
              <w:pStyle w:val="ListParagraph"/>
              <w:numPr>
                <w:ilvl w:val="0"/>
                <w:numId w:val="3"/>
              </w:numPr>
              <w:spacing w:before="100" w:beforeAutospacing="1"/>
              <w:ind w:left="0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F566D">
              <w:rPr>
                <w:rFonts w:asciiTheme="minorHAnsi" w:hAnsiTheme="minorHAnsi"/>
                <w:b/>
                <w:bCs/>
                <w:sz w:val="22"/>
                <w:szCs w:val="22"/>
              </w:rPr>
              <w:t>Step-down/Step-up</w:t>
            </w:r>
            <w:r w:rsidRPr="009F566D">
              <w:rPr>
                <w:rFonts w:asciiTheme="minorHAnsi" w:hAnsiTheme="minorHAnsi"/>
                <w:sz w:val="22"/>
                <w:szCs w:val="22"/>
              </w:rPr>
              <w:t>: An Early Help Social Worker co-located in the EHH ensures cases are safely de-escalated from Children’s Social Care at the end of statutory interventions where on-going support is required; or are escalated into Children’s Social Care when the child or family’s needs increase</w:t>
            </w:r>
            <w:r w:rsidR="009F566D" w:rsidRPr="009F566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189DD3" w14:textId="77777777" w:rsidR="009F566D" w:rsidRPr="000F4029" w:rsidRDefault="009F566D" w:rsidP="009F566D">
            <w:pPr>
              <w:pStyle w:val="ListParagraph"/>
              <w:ind w:left="0"/>
              <w:rPr>
                <w:rFonts w:asciiTheme="minorHAnsi" w:hAnsiTheme="minorHAnsi"/>
                <w:b/>
                <w:sz w:val="12"/>
                <w:szCs w:val="12"/>
                <w:u w:val="single"/>
              </w:rPr>
            </w:pPr>
          </w:p>
          <w:p w14:paraId="08189DD4" w14:textId="77777777" w:rsidR="00963B58" w:rsidRDefault="00254BDC" w:rsidP="009F566D">
            <w:pPr>
              <w:pStyle w:val="ListParagraph"/>
              <w:numPr>
                <w:ilvl w:val="0"/>
                <w:numId w:val="3"/>
              </w:numPr>
              <w:ind w:left="0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F566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The </w:t>
            </w:r>
            <w:r w:rsidR="00963B58" w:rsidRPr="009F566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EHH only undertakes triage or discusses cases with consent</w:t>
            </w:r>
            <w:r w:rsidR="00963B58" w:rsidRPr="009F566D">
              <w:rPr>
                <w:rFonts w:asciiTheme="minorHAnsi" w:hAnsiTheme="minorHAnsi"/>
                <w:b/>
                <w:sz w:val="22"/>
                <w:szCs w:val="22"/>
              </w:rPr>
              <w:t xml:space="preserve">; however </w:t>
            </w:r>
            <w:r w:rsidR="00B5062B" w:rsidRPr="009F566D">
              <w:rPr>
                <w:rFonts w:asciiTheme="minorHAnsi" w:hAnsiTheme="minorHAnsi"/>
                <w:b/>
                <w:sz w:val="22"/>
                <w:szCs w:val="22"/>
              </w:rPr>
              <w:t>GP’s and other health professionals</w:t>
            </w:r>
            <w:r w:rsidR="00963B58" w:rsidRPr="009F566D">
              <w:rPr>
                <w:rFonts w:asciiTheme="minorHAnsi" w:hAnsiTheme="minorHAnsi"/>
                <w:b/>
                <w:sz w:val="22"/>
                <w:szCs w:val="22"/>
              </w:rPr>
              <w:t xml:space="preserve"> can make a general enquiry and ask for advice without consent, as long no names are given.</w:t>
            </w:r>
          </w:p>
          <w:p w14:paraId="08189DD5" w14:textId="77777777" w:rsidR="009F566D" w:rsidRPr="009F566D" w:rsidRDefault="009F566D" w:rsidP="009F566D">
            <w:pPr>
              <w:pStyle w:val="List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8189DD7" w14:textId="1A1C435C" w:rsidR="004A56D1" w:rsidRPr="00963B58" w:rsidRDefault="00963B58" w:rsidP="004F4F8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63B58">
              <w:rPr>
                <w:rFonts w:asciiTheme="minorHAnsi" w:hAnsiTheme="minorHAnsi"/>
                <w:sz w:val="22"/>
                <w:szCs w:val="22"/>
              </w:rPr>
              <w:t>The EHH does not replace the existing ‘Safeguarding Arrangements’ for Children’s Social Care in Tower Hamlets. If at any stage you have any concerns that a child is at risk of harm you must follow your agency’s safeguarding procedure and make a referral to the Multi Agency Safe</w:t>
            </w:r>
            <w:r w:rsidR="004F4F8D">
              <w:rPr>
                <w:rFonts w:asciiTheme="minorHAnsi" w:hAnsiTheme="minorHAnsi"/>
                <w:sz w:val="22"/>
                <w:szCs w:val="22"/>
              </w:rPr>
              <w:t>-</w:t>
            </w:r>
            <w:r w:rsidRPr="00963B58">
              <w:rPr>
                <w:rFonts w:asciiTheme="minorHAnsi" w:hAnsiTheme="minorHAnsi"/>
                <w:sz w:val="22"/>
                <w:szCs w:val="22"/>
              </w:rPr>
              <w:t xml:space="preserve"> Guarding Hub (M</w:t>
            </w:r>
            <w:r w:rsidR="00254BDC">
              <w:rPr>
                <w:rFonts w:asciiTheme="minorHAnsi" w:hAnsiTheme="minorHAnsi"/>
                <w:sz w:val="22"/>
                <w:szCs w:val="22"/>
              </w:rPr>
              <w:t>ASH) 020 7364 5006 (Option 3</w:t>
            </w:r>
            <w:r w:rsidRPr="00963B58">
              <w:rPr>
                <w:rFonts w:asciiTheme="minorHAnsi" w:hAnsiTheme="minorHAnsi"/>
                <w:sz w:val="22"/>
                <w:szCs w:val="22"/>
              </w:rPr>
              <w:t>)</w:t>
            </w:r>
            <w:r w:rsidR="00254BD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C6CAC" w:rsidRPr="00232F68" w14:paraId="08189DDB" w14:textId="77777777" w:rsidTr="00193AB9">
        <w:tc>
          <w:tcPr>
            <w:tcW w:w="1985" w:type="dxa"/>
          </w:tcPr>
          <w:p w14:paraId="08189DD9" w14:textId="35A10AE0" w:rsidR="00EC6CAC" w:rsidRPr="00232F68" w:rsidRDefault="00B506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EHH </w:t>
            </w:r>
            <w:r w:rsidR="000F4029">
              <w:rPr>
                <w:rFonts w:asciiTheme="minorHAnsi" w:hAnsiTheme="minorHAnsi"/>
                <w:sz w:val="22"/>
                <w:szCs w:val="22"/>
              </w:rPr>
              <w:t xml:space="preserve">Telephone </w:t>
            </w:r>
            <w:r w:rsidR="00D93CF8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9072" w:type="dxa"/>
          </w:tcPr>
          <w:p w14:paraId="08189DDA" w14:textId="77777777" w:rsidR="00EC6CAC" w:rsidRPr="00232F68" w:rsidRDefault="009E0D4E" w:rsidP="00050971">
            <w:pPr>
              <w:rPr>
                <w:rFonts w:asciiTheme="minorHAnsi" w:hAnsiTheme="minorHAnsi"/>
                <w:sz w:val="22"/>
                <w:szCs w:val="22"/>
              </w:rPr>
            </w:pPr>
            <w:r w:rsidRPr="00232F68">
              <w:rPr>
                <w:rFonts w:asciiTheme="minorHAnsi" w:hAnsiTheme="minorHAnsi"/>
                <w:sz w:val="22"/>
                <w:szCs w:val="22"/>
              </w:rPr>
              <w:t xml:space="preserve">020 7364 </w:t>
            </w:r>
            <w:r w:rsidR="00050971">
              <w:rPr>
                <w:rFonts w:asciiTheme="minorHAnsi" w:hAnsiTheme="minorHAnsi"/>
                <w:sz w:val="22"/>
                <w:szCs w:val="22"/>
              </w:rPr>
              <w:t>5006 (Option 2)</w:t>
            </w:r>
          </w:p>
        </w:tc>
      </w:tr>
      <w:tr w:rsidR="00EC6CAC" w:rsidRPr="00232F68" w14:paraId="08189DDE" w14:textId="77777777" w:rsidTr="00193AB9">
        <w:tc>
          <w:tcPr>
            <w:tcW w:w="1985" w:type="dxa"/>
          </w:tcPr>
          <w:p w14:paraId="08189DDC" w14:textId="77777777" w:rsidR="00EC6CAC" w:rsidRPr="00232F68" w:rsidRDefault="00EC6CAC">
            <w:pPr>
              <w:rPr>
                <w:rFonts w:asciiTheme="minorHAnsi" w:hAnsiTheme="minorHAnsi"/>
                <w:sz w:val="22"/>
                <w:szCs w:val="22"/>
              </w:rPr>
            </w:pPr>
            <w:r w:rsidRPr="00232F68">
              <w:rPr>
                <w:rFonts w:asciiTheme="minorHAnsi" w:hAnsiTheme="minorHAnsi"/>
                <w:sz w:val="22"/>
                <w:szCs w:val="22"/>
              </w:rPr>
              <w:t>Website</w:t>
            </w:r>
          </w:p>
        </w:tc>
        <w:tc>
          <w:tcPr>
            <w:tcW w:w="9072" w:type="dxa"/>
          </w:tcPr>
          <w:p w14:paraId="08189DDD" w14:textId="77777777" w:rsidR="00EC6CAC" w:rsidRPr="009F566D" w:rsidRDefault="00714975" w:rsidP="000509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9" w:history="1">
              <w:r w:rsidR="009F566D" w:rsidRPr="009F566D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www.towerhamlets.gov.uk/earlyhelp</w:t>
              </w:r>
            </w:hyperlink>
          </w:p>
        </w:tc>
      </w:tr>
      <w:tr w:rsidR="00FB0D38" w:rsidRPr="00232F68" w14:paraId="08189DE1" w14:textId="77777777" w:rsidTr="00193AB9">
        <w:tc>
          <w:tcPr>
            <w:tcW w:w="1985" w:type="dxa"/>
          </w:tcPr>
          <w:p w14:paraId="08189DDF" w14:textId="77777777" w:rsidR="00FB0D38" w:rsidRPr="00232F68" w:rsidRDefault="00FB0D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Email </w:t>
            </w:r>
          </w:p>
        </w:tc>
        <w:tc>
          <w:tcPr>
            <w:tcW w:w="9072" w:type="dxa"/>
          </w:tcPr>
          <w:p w14:paraId="08189DE0" w14:textId="77777777" w:rsidR="00FB0D38" w:rsidRPr="009F566D" w:rsidRDefault="00714975" w:rsidP="00050971">
            <w:pPr>
              <w:rPr>
                <w:sz w:val="22"/>
                <w:szCs w:val="22"/>
              </w:rPr>
            </w:pPr>
            <w:hyperlink r:id="rId10" w:history="1">
              <w:r w:rsidR="00FB0D38" w:rsidRPr="009F566D">
                <w:rPr>
                  <w:rStyle w:val="Hyperlink"/>
                  <w:sz w:val="22"/>
                  <w:szCs w:val="22"/>
                </w:rPr>
                <w:t>earlyhelp@towerhamlets.gov.uk</w:t>
              </w:r>
            </w:hyperlink>
            <w:r w:rsidR="00FB0D38" w:rsidRPr="009F566D">
              <w:rPr>
                <w:sz w:val="22"/>
                <w:szCs w:val="22"/>
              </w:rPr>
              <w:t xml:space="preserve"> (secure to nhs.net users)</w:t>
            </w:r>
          </w:p>
        </w:tc>
      </w:tr>
      <w:tr w:rsidR="00F06AC5" w14:paraId="08189DE5" w14:textId="77777777" w:rsidTr="000F4029">
        <w:trPr>
          <w:trHeight w:val="1369"/>
        </w:trPr>
        <w:tc>
          <w:tcPr>
            <w:tcW w:w="1985" w:type="dxa"/>
          </w:tcPr>
          <w:p w14:paraId="08189DE2" w14:textId="77777777" w:rsidR="00F06AC5" w:rsidRDefault="00F06AC5" w:rsidP="00D266CE">
            <w:pPr>
              <w:rPr>
                <w:rFonts w:asciiTheme="minorHAnsi" w:hAnsiTheme="minorHAnsi"/>
                <w:sz w:val="22"/>
                <w:szCs w:val="22"/>
              </w:rPr>
            </w:pPr>
            <w:r w:rsidRPr="00F06AC5">
              <w:rPr>
                <w:rFonts w:asciiTheme="minorHAnsi" w:hAnsiTheme="minorHAnsi"/>
                <w:b/>
                <w:sz w:val="22"/>
                <w:szCs w:val="22"/>
              </w:rPr>
              <w:t xml:space="preserve">EMIS </w:t>
            </w:r>
            <w:r w:rsidR="00193AB9">
              <w:rPr>
                <w:rFonts w:asciiTheme="minorHAnsi" w:hAnsiTheme="minorHAnsi"/>
                <w:b/>
                <w:sz w:val="22"/>
                <w:szCs w:val="22"/>
              </w:rPr>
              <w:t>EH ENQUIRY FORM</w:t>
            </w:r>
          </w:p>
          <w:p w14:paraId="04E2FC6A" w14:textId="77777777" w:rsidR="00B5062B" w:rsidRDefault="00193AB9" w:rsidP="00B506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F566D">
              <w:rPr>
                <w:rFonts w:asciiTheme="minorHAnsi" w:hAnsiTheme="minorHAnsi"/>
                <w:b/>
                <w:sz w:val="22"/>
                <w:szCs w:val="22"/>
              </w:rPr>
              <w:t>Child’s record</w:t>
            </w:r>
          </w:p>
          <w:p w14:paraId="08189DE3" w14:textId="0C6B7FB0" w:rsidR="004F4F8D" w:rsidRPr="00B5062B" w:rsidRDefault="004F4F8D" w:rsidP="00B506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4F8D">
              <w:rPr>
                <w:rFonts w:asciiTheme="minorHAnsi" w:hAnsiTheme="minorHAnsi"/>
                <w:b/>
                <w:sz w:val="22"/>
                <w:szCs w:val="22"/>
              </w:rPr>
              <w:t>'Early Help notification TH CEG (RP)'</w:t>
            </w:r>
          </w:p>
        </w:tc>
        <w:tc>
          <w:tcPr>
            <w:tcW w:w="9072" w:type="dxa"/>
          </w:tcPr>
          <w:p w14:paraId="08189DE4" w14:textId="77777777" w:rsidR="00F06AC5" w:rsidRPr="00F06AC5" w:rsidRDefault="00F06AC5" w:rsidP="00193AB9">
            <w:pPr>
              <w:rPr>
                <w:rFonts w:asciiTheme="minorHAnsi" w:hAnsiTheme="minorHAnsi"/>
                <w:sz w:val="22"/>
                <w:szCs w:val="22"/>
              </w:rPr>
            </w:pPr>
            <w:r w:rsidRPr="00F06AC5">
              <w:rPr>
                <w:rFonts w:asciiTheme="minorHAnsi" w:hAnsiTheme="minorHAnsi"/>
                <w:sz w:val="22"/>
                <w:szCs w:val="22"/>
              </w:rPr>
              <w:t xml:space="preserve">Please provide details </w:t>
            </w:r>
            <w:r>
              <w:rPr>
                <w:rFonts w:asciiTheme="minorHAnsi" w:hAnsiTheme="minorHAnsi"/>
                <w:sz w:val="22"/>
                <w:szCs w:val="22"/>
              </w:rPr>
              <w:t>of at least one parent</w:t>
            </w:r>
            <w:r w:rsidRPr="00F06AC5">
              <w:rPr>
                <w:rFonts w:asciiTheme="minorHAnsi" w:hAnsiTheme="minorHAnsi"/>
                <w:sz w:val="22"/>
                <w:szCs w:val="22"/>
              </w:rPr>
              <w:t xml:space="preserve"> and the details of all children where possible or one child as a minimum unless pre-birth</w:t>
            </w:r>
            <w:r w:rsidR="00193AB9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F06AC5">
              <w:rPr>
                <w:rFonts w:asciiTheme="minorHAnsi" w:hAnsiTheme="minorHAnsi"/>
                <w:sz w:val="22"/>
                <w:szCs w:val="22"/>
              </w:rPr>
              <w:t xml:space="preserve"> there are no other children. Give child/childrens school details where known as this helps with case screening. The families address is </w:t>
            </w:r>
            <w:r w:rsidR="00DD3727">
              <w:rPr>
                <w:rFonts w:asciiTheme="minorHAnsi" w:hAnsiTheme="minorHAnsi"/>
                <w:sz w:val="22"/>
                <w:szCs w:val="22"/>
              </w:rPr>
              <w:t>a must</w:t>
            </w:r>
            <w:r w:rsidRPr="00F06AC5">
              <w:rPr>
                <w:rFonts w:asciiTheme="minorHAnsi" w:hAnsiTheme="minorHAnsi"/>
                <w:sz w:val="22"/>
                <w:szCs w:val="22"/>
              </w:rPr>
              <w:t xml:space="preserve"> as well as </w:t>
            </w:r>
            <w:r w:rsidR="00193AB9">
              <w:rPr>
                <w:rFonts w:asciiTheme="minorHAnsi" w:hAnsiTheme="minorHAnsi"/>
                <w:sz w:val="22"/>
                <w:szCs w:val="22"/>
              </w:rPr>
              <w:t>a contact number. Please give as</w:t>
            </w:r>
            <w:r w:rsidRPr="00F06AC5">
              <w:rPr>
                <w:rFonts w:asciiTheme="minorHAnsi" w:hAnsiTheme="minorHAnsi"/>
                <w:sz w:val="22"/>
                <w:szCs w:val="22"/>
              </w:rPr>
              <w:t xml:space="preserve"> much information as you can about the reason for enquiry.</w:t>
            </w:r>
          </w:p>
        </w:tc>
      </w:tr>
    </w:tbl>
    <w:p w14:paraId="08189DE6" w14:textId="77777777" w:rsidR="004A56D1" w:rsidRPr="00ED1556" w:rsidRDefault="00193AB9" w:rsidP="004A56D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</w:t>
      </w:r>
    </w:p>
    <w:sectPr w:rsidR="004A56D1" w:rsidRPr="00ED15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7CA68" w14:textId="77777777" w:rsidR="00714975" w:rsidRDefault="00714975" w:rsidP="00193AB9">
      <w:r>
        <w:separator/>
      </w:r>
    </w:p>
  </w:endnote>
  <w:endnote w:type="continuationSeparator" w:id="0">
    <w:p w14:paraId="4EFAE12D" w14:textId="77777777" w:rsidR="00714975" w:rsidRDefault="00714975" w:rsidP="0019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E867" w14:textId="77777777" w:rsidR="00714975" w:rsidRDefault="00714975" w:rsidP="00193AB9">
      <w:r>
        <w:separator/>
      </w:r>
    </w:p>
  </w:footnote>
  <w:footnote w:type="continuationSeparator" w:id="0">
    <w:p w14:paraId="18C31D38" w14:textId="77777777" w:rsidR="00714975" w:rsidRDefault="00714975" w:rsidP="0019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3984"/>
    <w:multiLevelType w:val="multilevel"/>
    <w:tmpl w:val="689C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6472B"/>
    <w:multiLevelType w:val="hybridMultilevel"/>
    <w:tmpl w:val="EFF64176"/>
    <w:lvl w:ilvl="0" w:tplc="B68234F2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B35BE"/>
    <w:multiLevelType w:val="hybridMultilevel"/>
    <w:tmpl w:val="15F4A2B8"/>
    <w:lvl w:ilvl="0" w:tplc="ED0EFB6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556"/>
    <w:rsid w:val="00050971"/>
    <w:rsid w:val="00096CB7"/>
    <w:rsid w:val="000E671B"/>
    <w:rsid w:val="000F4029"/>
    <w:rsid w:val="00140DE9"/>
    <w:rsid w:val="0015441A"/>
    <w:rsid w:val="00193AB9"/>
    <w:rsid w:val="00232F68"/>
    <w:rsid w:val="00254BDC"/>
    <w:rsid w:val="0046570D"/>
    <w:rsid w:val="004A56D1"/>
    <w:rsid w:val="004F4F8D"/>
    <w:rsid w:val="005C1D96"/>
    <w:rsid w:val="006C007C"/>
    <w:rsid w:val="006E0471"/>
    <w:rsid w:val="00714975"/>
    <w:rsid w:val="00820757"/>
    <w:rsid w:val="00963B58"/>
    <w:rsid w:val="00984FDD"/>
    <w:rsid w:val="009E0D4E"/>
    <w:rsid w:val="009F566D"/>
    <w:rsid w:val="00AA380D"/>
    <w:rsid w:val="00AD330D"/>
    <w:rsid w:val="00B5062B"/>
    <w:rsid w:val="00BA743D"/>
    <w:rsid w:val="00BF6D2C"/>
    <w:rsid w:val="00D93CF8"/>
    <w:rsid w:val="00DC527F"/>
    <w:rsid w:val="00DD3727"/>
    <w:rsid w:val="00E17EBB"/>
    <w:rsid w:val="00EC6CAC"/>
    <w:rsid w:val="00ED1556"/>
    <w:rsid w:val="00F06AC5"/>
    <w:rsid w:val="00F215AC"/>
    <w:rsid w:val="00FB0D38"/>
    <w:rsid w:val="00FC03FD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89DC1"/>
  <w15:docId w15:val="{D35DFB8D-FA6A-4BF9-9362-F276E16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32F68"/>
    <w:pPr>
      <w:ind w:left="720"/>
      <w:contextualSpacing/>
    </w:pPr>
  </w:style>
  <w:style w:type="character" w:styleId="Hyperlink">
    <w:name w:val="Hyperlink"/>
    <w:basedOn w:val="DefaultParagraphFont"/>
    <w:rsid w:val="000509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3B58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styleId="Strong">
    <w:name w:val="Strong"/>
    <w:basedOn w:val="DefaultParagraphFont"/>
    <w:uiPriority w:val="22"/>
    <w:qFormat/>
    <w:rsid w:val="00963B58"/>
    <w:rPr>
      <w:b/>
      <w:bCs/>
    </w:rPr>
  </w:style>
  <w:style w:type="paragraph" w:styleId="BalloonText">
    <w:name w:val="Balloon Text"/>
    <w:basedOn w:val="Normal"/>
    <w:link w:val="BalloonTextChar"/>
    <w:rsid w:val="00193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AB9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rsid w:val="00193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3AB9"/>
    <w:rPr>
      <w:rFonts w:ascii="Arial" w:hAnsi="Arial"/>
      <w:noProof/>
      <w:sz w:val="24"/>
      <w:szCs w:val="24"/>
    </w:rPr>
  </w:style>
  <w:style w:type="paragraph" w:styleId="Footer">
    <w:name w:val="footer"/>
    <w:basedOn w:val="Normal"/>
    <w:link w:val="FooterChar"/>
    <w:rsid w:val="00193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3AB9"/>
    <w:rPr>
      <w:rFonts w:ascii="Arial" w:hAnsi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arlyhelp@towerhamlet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werhamlets.gov.uk/early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Jolil</dc:creator>
  <cp:lastModifiedBy>Karen Simpson</cp:lastModifiedBy>
  <cp:revision>8</cp:revision>
  <cp:lastPrinted>2019-10-10T15:02:00Z</cp:lastPrinted>
  <dcterms:created xsi:type="dcterms:W3CDTF">2019-05-17T12:31:00Z</dcterms:created>
  <dcterms:modified xsi:type="dcterms:W3CDTF">2021-08-24T11:48:00Z</dcterms:modified>
</cp:coreProperties>
</file>