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6A584" w14:textId="77777777" w:rsidR="00B313EA" w:rsidRDefault="00911AA9" w:rsidP="00B313EA">
      <w:pPr>
        <w:pStyle w:val="Title"/>
        <w:spacing w:line="360" w:lineRule="auto"/>
        <w:jc w:val="center"/>
        <w:rPr>
          <w:rFonts w:ascii="Calibri" w:hAnsi="Calibri" w:cs="Calibri"/>
        </w:rPr>
      </w:pPr>
      <w:bookmarkStart w:id="0" w:name="_Hlk103100294"/>
      <w:r>
        <w:rPr>
          <w:noProof/>
          <w:lang w:eastAsia="en-GB"/>
        </w:rPr>
        <w:drawing>
          <wp:anchor distT="0" distB="0" distL="114300" distR="114300" simplePos="0" relativeHeight="251659776" behindDoc="1" locked="0" layoutInCell="1" allowOverlap="1" wp14:anchorId="08C026C0" wp14:editId="4E9B413B">
            <wp:simplePos x="0" y="0"/>
            <wp:positionH relativeFrom="margin">
              <wp:posOffset>-588991</wp:posOffset>
            </wp:positionH>
            <wp:positionV relativeFrom="page">
              <wp:posOffset>-457200</wp:posOffset>
            </wp:positionV>
            <wp:extent cx="7626350" cy="11097491"/>
            <wp:effectExtent l="0" t="0" r="0" b="889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8089" cy="11114573"/>
                    </a:xfrm>
                    <a:prstGeom prst="rect">
                      <a:avLst/>
                    </a:prstGeom>
                  </pic:spPr>
                </pic:pic>
              </a:graphicData>
            </a:graphic>
            <wp14:sizeRelH relativeFrom="margin">
              <wp14:pctWidth>0</wp14:pctWidth>
            </wp14:sizeRelH>
            <wp14:sizeRelV relativeFrom="margin">
              <wp14:pctHeight>0</wp14:pctHeight>
            </wp14:sizeRelV>
          </wp:anchor>
        </w:drawing>
      </w:r>
    </w:p>
    <w:p w14:paraId="6B786B4D" w14:textId="77777777" w:rsidR="00B313EA" w:rsidRDefault="00B313EA" w:rsidP="00B313EA">
      <w:pPr>
        <w:pStyle w:val="Title"/>
        <w:spacing w:line="360" w:lineRule="auto"/>
        <w:jc w:val="center"/>
        <w:rPr>
          <w:rFonts w:ascii="Calibri" w:hAnsi="Calibri" w:cs="Calibri"/>
        </w:rPr>
      </w:pPr>
    </w:p>
    <w:p w14:paraId="05B96B94" w14:textId="77777777" w:rsidR="00B313EA" w:rsidRDefault="00B313EA" w:rsidP="00B313EA">
      <w:pPr>
        <w:pStyle w:val="Title"/>
        <w:spacing w:line="360" w:lineRule="auto"/>
        <w:jc w:val="center"/>
        <w:rPr>
          <w:rFonts w:ascii="Calibri" w:hAnsi="Calibri" w:cs="Calibri"/>
        </w:rPr>
      </w:pPr>
    </w:p>
    <w:p w14:paraId="3560B0F5" w14:textId="77777777" w:rsidR="00B313EA" w:rsidRDefault="00B313EA" w:rsidP="00B313EA">
      <w:pPr>
        <w:pStyle w:val="Title"/>
        <w:spacing w:line="360" w:lineRule="auto"/>
        <w:jc w:val="center"/>
        <w:rPr>
          <w:rFonts w:ascii="Calibri" w:hAnsi="Calibri" w:cs="Calibri"/>
        </w:rPr>
      </w:pPr>
    </w:p>
    <w:p w14:paraId="59717694" w14:textId="77777777" w:rsidR="00B313EA" w:rsidRDefault="00B313EA" w:rsidP="00B313EA">
      <w:pPr>
        <w:pStyle w:val="Title"/>
        <w:spacing w:line="360" w:lineRule="auto"/>
        <w:jc w:val="center"/>
        <w:rPr>
          <w:rFonts w:ascii="Calibri" w:hAnsi="Calibri" w:cs="Calibri"/>
        </w:rPr>
      </w:pPr>
    </w:p>
    <w:p w14:paraId="70DEE1DB" w14:textId="77777777" w:rsidR="00B313EA" w:rsidRDefault="00B313EA" w:rsidP="00B313EA">
      <w:pPr>
        <w:pStyle w:val="Title"/>
        <w:spacing w:line="360" w:lineRule="auto"/>
        <w:jc w:val="center"/>
        <w:rPr>
          <w:rFonts w:cs="Arial"/>
        </w:rPr>
      </w:pPr>
      <w:r w:rsidRPr="00B313EA">
        <w:rPr>
          <w:rFonts w:cs="Arial"/>
        </w:rPr>
        <w:t>Non-Medical Prescribing Policy</w:t>
      </w:r>
    </w:p>
    <w:p w14:paraId="318B8373" w14:textId="77777777" w:rsidR="00194009" w:rsidRPr="008B3315" w:rsidRDefault="008B3315" w:rsidP="008B3315">
      <w:pPr>
        <w:jc w:val="center"/>
        <w:rPr>
          <w:b/>
          <w:color w:val="2F5496" w:themeColor="accent1" w:themeShade="BF"/>
          <w:sz w:val="40"/>
          <w:szCs w:val="40"/>
        </w:rPr>
      </w:pPr>
      <w:r w:rsidRPr="008B3315">
        <w:rPr>
          <w:b/>
          <w:color w:val="2F5496" w:themeColor="accent1" w:themeShade="BF"/>
          <w:sz w:val="40"/>
          <w:szCs w:val="40"/>
        </w:rPr>
        <w:t xml:space="preserve">Tower </w:t>
      </w:r>
      <w:r w:rsidR="00CB66BD">
        <w:rPr>
          <w:b/>
          <w:color w:val="2F5496" w:themeColor="accent1" w:themeShade="BF"/>
          <w:sz w:val="40"/>
          <w:szCs w:val="40"/>
        </w:rPr>
        <w:t>H</w:t>
      </w:r>
      <w:r w:rsidRPr="008B3315">
        <w:rPr>
          <w:b/>
          <w:color w:val="2F5496" w:themeColor="accent1" w:themeShade="BF"/>
          <w:sz w:val="40"/>
          <w:szCs w:val="40"/>
        </w:rPr>
        <w:t>amlets</w:t>
      </w:r>
      <w:r w:rsidR="00194009" w:rsidRPr="008B3315">
        <w:rPr>
          <w:b/>
          <w:color w:val="2F5496" w:themeColor="accent1" w:themeShade="BF"/>
          <w:sz w:val="40"/>
          <w:szCs w:val="40"/>
        </w:rPr>
        <w:t xml:space="preserve">, </w:t>
      </w:r>
      <w:r w:rsidRPr="008B3315">
        <w:rPr>
          <w:b/>
          <w:color w:val="2F5496" w:themeColor="accent1" w:themeShade="BF"/>
          <w:sz w:val="40"/>
          <w:szCs w:val="40"/>
        </w:rPr>
        <w:t>Newham</w:t>
      </w:r>
      <w:r w:rsidR="00194009" w:rsidRPr="008B3315">
        <w:rPr>
          <w:b/>
          <w:color w:val="2F5496" w:themeColor="accent1" w:themeShade="BF"/>
          <w:sz w:val="40"/>
          <w:szCs w:val="40"/>
        </w:rPr>
        <w:t xml:space="preserve"> and Waltham Forest </w:t>
      </w:r>
      <w:r w:rsidRPr="008B3315">
        <w:rPr>
          <w:b/>
          <w:color w:val="2F5496" w:themeColor="accent1" w:themeShade="BF"/>
          <w:sz w:val="40"/>
          <w:szCs w:val="40"/>
        </w:rPr>
        <w:t>(</w:t>
      </w:r>
      <w:r w:rsidR="00194009" w:rsidRPr="008B3315">
        <w:rPr>
          <w:b/>
          <w:color w:val="2F5496" w:themeColor="accent1" w:themeShade="BF"/>
          <w:sz w:val="40"/>
          <w:szCs w:val="40"/>
        </w:rPr>
        <w:t>TNW</w:t>
      </w:r>
      <w:r w:rsidRPr="008B3315">
        <w:rPr>
          <w:b/>
          <w:color w:val="2F5496" w:themeColor="accent1" w:themeShade="BF"/>
          <w:sz w:val="40"/>
          <w:szCs w:val="40"/>
        </w:rPr>
        <w:t>)</w:t>
      </w:r>
    </w:p>
    <w:p w14:paraId="503E940A" w14:textId="77777777" w:rsidR="00B313EA" w:rsidRDefault="00B313EA" w:rsidP="00B313EA"/>
    <w:p w14:paraId="0BC2257E" w14:textId="77777777" w:rsidR="00B313EA" w:rsidRDefault="00B313EA" w:rsidP="00B313EA"/>
    <w:p w14:paraId="32250ECB" w14:textId="77777777" w:rsidR="00B313EA" w:rsidRDefault="00B313EA" w:rsidP="00B313EA"/>
    <w:p w14:paraId="52B5482E" w14:textId="77777777" w:rsidR="00B313EA" w:rsidRDefault="00B313EA" w:rsidP="00B313EA"/>
    <w:p w14:paraId="0F9EDCAA" w14:textId="77777777" w:rsidR="00B313EA" w:rsidRPr="00B313EA" w:rsidRDefault="00B313EA" w:rsidP="00B313EA"/>
    <w:p w14:paraId="5C8411F7" w14:textId="77777777" w:rsidR="00456843" w:rsidRDefault="00456843" w:rsidP="000B5C91">
      <w:pPr>
        <w:spacing w:after="0"/>
        <w:ind w:left="-142"/>
        <w:rPr>
          <w:rFonts w:cs="Arial"/>
          <w:b/>
          <w:sz w:val="24"/>
          <w:szCs w:val="24"/>
        </w:rPr>
      </w:pPr>
    </w:p>
    <w:p w14:paraId="51B21103" w14:textId="77777777" w:rsidR="002147CE" w:rsidRDefault="002147CE" w:rsidP="00E60C38">
      <w:pPr>
        <w:spacing w:before="0" w:after="40" w:line="259" w:lineRule="auto"/>
        <w:jc w:val="left"/>
        <w:rPr>
          <w:rFonts w:cs="Arial"/>
        </w:rPr>
      </w:pPr>
    </w:p>
    <w:p w14:paraId="37438997" w14:textId="77777777" w:rsidR="002147CE" w:rsidRDefault="002147CE" w:rsidP="00F646DD">
      <w:pPr>
        <w:spacing w:before="0" w:after="40" w:line="259" w:lineRule="auto"/>
        <w:jc w:val="right"/>
        <w:rPr>
          <w:rFonts w:cs="Arial"/>
        </w:rPr>
      </w:pPr>
    </w:p>
    <w:p w14:paraId="3502361B" w14:textId="77777777" w:rsidR="001A163F" w:rsidRPr="002C5AA7" w:rsidRDefault="001A163F" w:rsidP="001A163F">
      <w:pPr>
        <w:rPr>
          <w:b/>
        </w:rPr>
      </w:pPr>
      <w:r>
        <w:rPr>
          <w:lang w:eastAsia="en-GB"/>
        </w:rPr>
        <w:t xml:space="preserve">                                                           </w:t>
      </w:r>
    </w:p>
    <w:p w14:paraId="30E271E4" w14:textId="77777777" w:rsidR="00F646DD" w:rsidRDefault="00F646DD" w:rsidP="00E60C38">
      <w:pPr>
        <w:spacing w:before="0" w:after="40" w:line="259" w:lineRule="auto"/>
        <w:jc w:val="left"/>
        <w:rPr>
          <w:rFonts w:cs="Arial"/>
        </w:rPr>
      </w:pPr>
    </w:p>
    <w:p w14:paraId="7A3807A0" w14:textId="77777777" w:rsidR="00F646DD" w:rsidRDefault="00F646DD" w:rsidP="00F646DD">
      <w:pPr>
        <w:spacing w:before="0" w:after="40" w:line="259" w:lineRule="auto"/>
        <w:rPr>
          <w:rFonts w:cs="Arial"/>
        </w:rPr>
      </w:pPr>
    </w:p>
    <w:p w14:paraId="5289701F" w14:textId="77777777" w:rsidR="00E97E2C" w:rsidRDefault="00E97E2C" w:rsidP="00DA502D">
      <w:pPr>
        <w:rPr>
          <w:b/>
        </w:rPr>
      </w:pPr>
    </w:p>
    <w:p w14:paraId="7D9F3DC9" w14:textId="77777777" w:rsidR="00E97E2C" w:rsidRDefault="00E97E2C" w:rsidP="00DA502D">
      <w:pPr>
        <w:rPr>
          <w:b/>
        </w:rPr>
      </w:pPr>
    </w:p>
    <w:p w14:paraId="611230C5" w14:textId="77777777" w:rsidR="0036488A" w:rsidRDefault="0036488A" w:rsidP="00DA502D">
      <w:pPr>
        <w:rPr>
          <w:b/>
        </w:rPr>
      </w:pPr>
    </w:p>
    <w:p w14:paraId="11E5CD03" w14:textId="77777777" w:rsidR="00A90908" w:rsidRDefault="006E6DD3" w:rsidP="00DA502D">
      <w:pPr>
        <w:rPr>
          <w:b/>
        </w:rPr>
      </w:pPr>
      <w:r>
        <w:rPr>
          <w:b/>
        </w:rPr>
        <w:br w:type="page"/>
      </w:r>
    </w:p>
    <w:p w14:paraId="37F69E98" w14:textId="77777777" w:rsidR="00AB0A76" w:rsidRDefault="00AB0A76" w:rsidP="00B313EA">
      <w:pPr>
        <w:pStyle w:val="TOCHeading"/>
        <w:spacing w:line="360" w:lineRule="auto"/>
        <w:jc w:val="both"/>
        <w:rPr>
          <w:rFonts w:cs="Arial"/>
          <w:sz w:val="32"/>
          <w:szCs w:val="32"/>
        </w:rPr>
        <w:sectPr w:rsidR="00AB0A76" w:rsidSect="00A17CAB">
          <w:headerReference w:type="default" r:id="rId12"/>
          <w:footerReference w:type="default" r:id="rId13"/>
          <w:footerReference w:type="first" r:id="rId14"/>
          <w:pgSz w:w="11906" w:h="16838"/>
          <w:pgMar w:top="1843" w:right="991" w:bottom="851" w:left="993" w:header="709" w:footer="446" w:gutter="0"/>
          <w:cols w:space="708"/>
          <w:docGrid w:linePitch="360"/>
        </w:sectPr>
      </w:pPr>
    </w:p>
    <w:p w14:paraId="0B2EF108" w14:textId="77777777" w:rsidR="00B313EA" w:rsidRPr="00B313EA" w:rsidRDefault="00B313EA" w:rsidP="00B313EA">
      <w:pPr>
        <w:pStyle w:val="TOCHeading"/>
        <w:spacing w:line="360" w:lineRule="auto"/>
        <w:jc w:val="both"/>
        <w:rPr>
          <w:rFonts w:cs="Arial"/>
          <w:sz w:val="32"/>
          <w:szCs w:val="32"/>
        </w:rPr>
      </w:pPr>
      <w:r w:rsidRPr="00B313EA">
        <w:rPr>
          <w:rFonts w:cs="Arial"/>
          <w:sz w:val="32"/>
          <w:szCs w:val="32"/>
        </w:rPr>
        <w:lastRenderedPageBreak/>
        <w:t>Document revision history</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0" w:type="dxa"/>
        </w:tblCellMar>
        <w:tblLook w:val="0420" w:firstRow="1" w:lastRow="0" w:firstColumn="0" w:lastColumn="0" w:noHBand="0" w:noVBand="1"/>
      </w:tblPr>
      <w:tblGrid>
        <w:gridCol w:w="1231"/>
        <w:gridCol w:w="1100"/>
        <w:gridCol w:w="4894"/>
        <w:gridCol w:w="2976"/>
        <w:gridCol w:w="4962"/>
      </w:tblGrid>
      <w:tr w:rsidR="00EB7AD3" w:rsidRPr="00B313EA" w14:paraId="3E1D3B4D" w14:textId="77777777" w:rsidTr="00AB0A76">
        <w:trPr>
          <w:tblHeader/>
        </w:trPr>
        <w:tc>
          <w:tcPr>
            <w:tcW w:w="1231" w:type="dxa"/>
            <w:shd w:val="clear" w:color="auto" w:fill="auto"/>
          </w:tcPr>
          <w:p w14:paraId="22E18225" w14:textId="77777777" w:rsidR="00B313EA" w:rsidRPr="00EB7AD3" w:rsidRDefault="00B313EA" w:rsidP="00EB7AD3">
            <w:pPr>
              <w:spacing w:line="360" w:lineRule="auto"/>
              <w:jc w:val="left"/>
              <w:rPr>
                <w:b/>
              </w:rPr>
            </w:pPr>
            <w:r w:rsidRPr="00B313EA">
              <w:rPr>
                <w:rFonts w:cs="Arial"/>
                <w:b/>
              </w:rPr>
              <w:t>Date</w:t>
            </w:r>
          </w:p>
        </w:tc>
        <w:tc>
          <w:tcPr>
            <w:tcW w:w="1100" w:type="dxa"/>
            <w:shd w:val="clear" w:color="auto" w:fill="auto"/>
          </w:tcPr>
          <w:p w14:paraId="404A8ECC" w14:textId="77777777" w:rsidR="00B313EA" w:rsidRPr="00B313EA" w:rsidRDefault="00B313EA" w:rsidP="00B313EA">
            <w:pPr>
              <w:spacing w:line="360" w:lineRule="auto"/>
              <w:jc w:val="left"/>
              <w:rPr>
                <w:rFonts w:cs="Arial"/>
                <w:b/>
              </w:rPr>
            </w:pPr>
            <w:r w:rsidRPr="00B313EA">
              <w:rPr>
                <w:rFonts w:cs="Arial"/>
                <w:b/>
              </w:rPr>
              <w:t>Version</w:t>
            </w:r>
          </w:p>
        </w:tc>
        <w:tc>
          <w:tcPr>
            <w:tcW w:w="4894" w:type="dxa"/>
            <w:shd w:val="clear" w:color="auto" w:fill="auto"/>
          </w:tcPr>
          <w:p w14:paraId="0754FB49" w14:textId="77777777" w:rsidR="00B313EA" w:rsidRPr="00B313EA" w:rsidRDefault="00B313EA" w:rsidP="00B313EA">
            <w:pPr>
              <w:spacing w:line="360" w:lineRule="auto"/>
              <w:jc w:val="left"/>
              <w:rPr>
                <w:rFonts w:cs="Arial"/>
                <w:b/>
              </w:rPr>
            </w:pPr>
            <w:r w:rsidRPr="00B313EA">
              <w:rPr>
                <w:rFonts w:cs="Arial"/>
                <w:b/>
              </w:rPr>
              <w:t>Revision</w:t>
            </w:r>
          </w:p>
        </w:tc>
        <w:tc>
          <w:tcPr>
            <w:tcW w:w="2976" w:type="dxa"/>
            <w:shd w:val="clear" w:color="auto" w:fill="auto"/>
          </w:tcPr>
          <w:p w14:paraId="6238C475" w14:textId="77777777" w:rsidR="00B313EA" w:rsidRPr="00B313EA" w:rsidRDefault="00B313EA" w:rsidP="00B313EA">
            <w:pPr>
              <w:spacing w:line="360" w:lineRule="auto"/>
              <w:jc w:val="left"/>
              <w:rPr>
                <w:rFonts w:cs="Arial"/>
                <w:b/>
              </w:rPr>
            </w:pPr>
            <w:r w:rsidRPr="00B313EA">
              <w:rPr>
                <w:rFonts w:cs="Arial"/>
                <w:b/>
              </w:rPr>
              <w:t>Comment</w:t>
            </w:r>
          </w:p>
        </w:tc>
        <w:tc>
          <w:tcPr>
            <w:tcW w:w="4962" w:type="dxa"/>
            <w:shd w:val="clear" w:color="auto" w:fill="auto"/>
          </w:tcPr>
          <w:p w14:paraId="36D5AB66" w14:textId="77777777" w:rsidR="00B313EA" w:rsidRPr="00B313EA" w:rsidRDefault="00B313EA" w:rsidP="00B313EA">
            <w:pPr>
              <w:spacing w:line="360" w:lineRule="auto"/>
              <w:jc w:val="left"/>
              <w:rPr>
                <w:rFonts w:cs="Arial"/>
                <w:b/>
              </w:rPr>
            </w:pPr>
            <w:r w:rsidRPr="00B313EA">
              <w:rPr>
                <w:rFonts w:cs="Arial"/>
                <w:b/>
              </w:rPr>
              <w:t>Author/Editor</w:t>
            </w:r>
          </w:p>
        </w:tc>
      </w:tr>
      <w:tr w:rsidR="00970896" w:rsidRPr="00B313EA" w14:paraId="17C6E07E" w14:textId="77777777" w:rsidTr="00AB0A76">
        <w:tc>
          <w:tcPr>
            <w:tcW w:w="1231" w:type="dxa"/>
            <w:shd w:val="clear" w:color="auto" w:fill="auto"/>
          </w:tcPr>
          <w:p w14:paraId="0278CB3F" w14:textId="77777777" w:rsidR="00B313EA" w:rsidRPr="00B313EA" w:rsidRDefault="00B313EA" w:rsidP="00B313EA">
            <w:pPr>
              <w:spacing w:before="100" w:beforeAutospacing="1" w:after="100" w:afterAutospacing="1" w:line="360" w:lineRule="auto"/>
              <w:jc w:val="left"/>
              <w:rPr>
                <w:rFonts w:cs="Arial"/>
              </w:rPr>
            </w:pPr>
            <w:proofErr w:type="gramStart"/>
            <w:r w:rsidRPr="00B313EA">
              <w:rPr>
                <w:rFonts w:cs="Arial"/>
              </w:rPr>
              <w:t>February  2020</w:t>
            </w:r>
            <w:proofErr w:type="gramEnd"/>
          </w:p>
        </w:tc>
        <w:tc>
          <w:tcPr>
            <w:tcW w:w="1100" w:type="dxa"/>
            <w:shd w:val="clear" w:color="auto" w:fill="auto"/>
          </w:tcPr>
          <w:p w14:paraId="6F19F44B" w14:textId="77777777" w:rsidR="00B313EA" w:rsidRPr="00B313EA" w:rsidRDefault="00B313EA" w:rsidP="00B313EA">
            <w:pPr>
              <w:spacing w:before="100" w:beforeAutospacing="1" w:after="100" w:afterAutospacing="1" w:line="360" w:lineRule="auto"/>
              <w:jc w:val="left"/>
              <w:rPr>
                <w:rFonts w:cs="Arial"/>
              </w:rPr>
            </w:pPr>
            <w:r w:rsidRPr="00B313EA">
              <w:rPr>
                <w:rFonts w:cs="Arial"/>
              </w:rPr>
              <w:t xml:space="preserve">    1.1</w:t>
            </w:r>
          </w:p>
        </w:tc>
        <w:tc>
          <w:tcPr>
            <w:tcW w:w="4894" w:type="dxa"/>
            <w:shd w:val="clear" w:color="auto" w:fill="auto"/>
          </w:tcPr>
          <w:p w14:paraId="51BDDB3B" w14:textId="77777777" w:rsidR="00B313EA" w:rsidRPr="00B313EA" w:rsidRDefault="00B313EA" w:rsidP="00795E2C">
            <w:pPr>
              <w:spacing w:before="100" w:beforeAutospacing="1" w:after="100" w:afterAutospacing="1" w:line="360" w:lineRule="auto"/>
              <w:jc w:val="left"/>
              <w:rPr>
                <w:rFonts w:cs="Arial"/>
              </w:rPr>
            </w:pPr>
            <w:r w:rsidRPr="00B313EA">
              <w:rPr>
                <w:rFonts w:cs="Arial"/>
              </w:rPr>
              <w:t xml:space="preserve">Amalgamation </w:t>
            </w:r>
            <w:r w:rsidR="00127D0F" w:rsidRPr="00B313EA">
              <w:rPr>
                <w:rFonts w:cs="Arial"/>
              </w:rPr>
              <w:t>of three</w:t>
            </w:r>
            <w:r w:rsidRPr="00B313EA">
              <w:rPr>
                <w:rFonts w:cs="Arial"/>
              </w:rPr>
              <w:t xml:space="preserve"> WEL CCG policies and updated to reflect changes in national regulation, guidance, NHS structure and local </w:t>
            </w:r>
            <w:r w:rsidR="00795E2C">
              <w:rPr>
                <w:rFonts w:cs="Arial"/>
              </w:rPr>
              <w:t>r</w:t>
            </w:r>
            <w:r w:rsidRPr="00B313EA">
              <w:rPr>
                <w:rFonts w:cs="Arial"/>
              </w:rPr>
              <w:t>econfiguration</w:t>
            </w:r>
          </w:p>
        </w:tc>
        <w:tc>
          <w:tcPr>
            <w:tcW w:w="2976" w:type="dxa"/>
            <w:shd w:val="clear" w:color="auto" w:fill="auto"/>
          </w:tcPr>
          <w:p w14:paraId="7B904C42" w14:textId="77777777" w:rsidR="00B313EA" w:rsidRPr="00B313EA" w:rsidRDefault="00B313EA" w:rsidP="00AB0A76">
            <w:pPr>
              <w:spacing w:before="100" w:beforeAutospacing="1" w:after="100" w:afterAutospacing="1" w:line="360" w:lineRule="auto"/>
              <w:jc w:val="left"/>
              <w:rPr>
                <w:rFonts w:cs="Arial"/>
              </w:rPr>
            </w:pPr>
          </w:p>
        </w:tc>
        <w:tc>
          <w:tcPr>
            <w:tcW w:w="4962" w:type="dxa"/>
            <w:shd w:val="clear" w:color="auto" w:fill="auto"/>
          </w:tcPr>
          <w:p w14:paraId="69CA7A68" w14:textId="77777777" w:rsidR="00B313EA" w:rsidRPr="00B313EA" w:rsidRDefault="00B313EA" w:rsidP="00B313EA">
            <w:pPr>
              <w:spacing w:before="100" w:beforeAutospacing="1" w:after="100" w:afterAutospacing="1" w:line="360" w:lineRule="auto"/>
              <w:jc w:val="left"/>
              <w:rPr>
                <w:rFonts w:cs="Arial"/>
              </w:rPr>
            </w:pPr>
            <w:r w:rsidRPr="00B313EA">
              <w:rPr>
                <w:rFonts w:cs="Arial"/>
              </w:rPr>
              <w:t>Newham and Waltham Medicines Optimisation Team</w:t>
            </w:r>
          </w:p>
        </w:tc>
      </w:tr>
      <w:tr w:rsidR="00970896" w:rsidRPr="00B313EA" w14:paraId="5C904047" w14:textId="77777777" w:rsidTr="00AB0A76">
        <w:tc>
          <w:tcPr>
            <w:tcW w:w="1231" w:type="dxa"/>
            <w:shd w:val="clear" w:color="auto" w:fill="auto"/>
          </w:tcPr>
          <w:p w14:paraId="439F0D27" w14:textId="77777777" w:rsidR="00B313EA" w:rsidRPr="00B313EA" w:rsidRDefault="00B313EA" w:rsidP="00B313EA">
            <w:pPr>
              <w:spacing w:before="100" w:beforeAutospacing="1" w:after="100" w:afterAutospacing="1" w:line="360" w:lineRule="auto"/>
              <w:jc w:val="left"/>
              <w:rPr>
                <w:rFonts w:cs="Arial"/>
              </w:rPr>
            </w:pPr>
            <w:r w:rsidRPr="00B313EA">
              <w:rPr>
                <w:rFonts w:cs="Arial"/>
              </w:rPr>
              <w:t>June 2020</w:t>
            </w:r>
          </w:p>
        </w:tc>
        <w:tc>
          <w:tcPr>
            <w:tcW w:w="1100" w:type="dxa"/>
            <w:shd w:val="clear" w:color="auto" w:fill="auto"/>
          </w:tcPr>
          <w:p w14:paraId="47C860AB" w14:textId="77777777" w:rsidR="00B313EA" w:rsidRPr="00B313EA" w:rsidRDefault="00B313EA" w:rsidP="00B313EA">
            <w:pPr>
              <w:spacing w:before="100" w:beforeAutospacing="1" w:after="100" w:afterAutospacing="1" w:line="360" w:lineRule="auto"/>
              <w:jc w:val="left"/>
              <w:rPr>
                <w:rFonts w:cs="Arial"/>
              </w:rPr>
            </w:pPr>
            <w:r w:rsidRPr="00B313EA">
              <w:rPr>
                <w:rFonts w:cs="Arial"/>
              </w:rPr>
              <w:t>1.2</w:t>
            </w:r>
          </w:p>
        </w:tc>
        <w:tc>
          <w:tcPr>
            <w:tcW w:w="4894" w:type="dxa"/>
            <w:shd w:val="clear" w:color="auto" w:fill="auto"/>
          </w:tcPr>
          <w:p w14:paraId="6D314F3E" w14:textId="77777777" w:rsidR="00B313EA" w:rsidRPr="00B313EA" w:rsidRDefault="00B313EA" w:rsidP="00F6469F">
            <w:pPr>
              <w:spacing w:before="100" w:beforeAutospacing="1" w:after="100" w:afterAutospacing="1" w:line="360" w:lineRule="auto"/>
              <w:jc w:val="left"/>
              <w:rPr>
                <w:rFonts w:cs="Arial"/>
              </w:rPr>
            </w:pPr>
            <w:r w:rsidRPr="00B313EA">
              <w:rPr>
                <w:rFonts w:cs="Arial"/>
              </w:rPr>
              <w:t xml:space="preserve">Updated with comments </w:t>
            </w:r>
            <w:r w:rsidR="00911AA9" w:rsidRPr="00B313EA">
              <w:rPr>
                <w:rFonts w:cs="Arial"/>
              </w:rPr>
              <w:t>from Tower</w:t>
            </w:r>
            <w:r w:rsidRPr="00B313EA">
              <w:rPr>
                <w:rFonts w:cs="Arial"/>
              </w:rPr>
              <w:t xml:space="preserve"> Hamlets Medicines Optimisation Team</w:t>
            </w:r>
            <w:r w:rsidR="00F6469F">
              <w:rPr>
                <w:rFonts w:cs="Arial"/>
              </w:rPr>
              <w:t xml:space="preserve"> </w:t>
            </w:r>
          </w:p>
        </w:tc>
        <w:tc>
          <w:tcPr>
            <w:tcW w:w="2976" w:type="dxa"/>
            <w:shd w:val="clear" w:color="auto" w:fill="auto"/>
          </w:tcPr>
          <w:p w14:paraId="17B9F689" w14:textId="77777777" w:rsidR="00B313EA" w:rsidRPr="00B313EA" w:rsidRDefault="00B313EA" w:rsidP="00B313EA">
            <w:pPr>
              <w:spacing w:before="100" w:beforeAutospacing="1" w:after="100" w:afterAutospacing="1" w:line="360" w:lineRule="auto"/>
              <w:jc w:val="left"/>
              <w:rPr>
                <w:rFonts w:cs="Arial"/>
              </w:rPr>
            </w:pPr>
          </w:p>
        </w:tc>
        <w:tc>
          <w:tcPr>
            <w:tcW w:w="4962" w:type="dxa"/>
            <w:shd w:val="clear" w:color="auto" w:fill="auto"/>
          </w:tcPr>
          <w:p w14:paraId="5433A6BB" w14:textId="77777777" w:rsidR="00B313EA" w:rsidRPr="00B313EA" w:rsidRDefault="00B313EA" w:rsidP="00B313EA">
            <w:pPr>
              <w:spacing w:before="100" w:beforeAutospacing="1" w:after="100" w:afterAutospacing="1" w:line="360" w:lineRule="auto"/>
              <w:jc w:val="left"/>
              <w:rPr>
                <w:rFonts w:cs="Arial"/>
              </w:rPr>
            </w:pPr>
            <w:r w:rsidRPr="00B313EA">
              <w:rPr>
                <w:rFonts w:cs="Arial"/>
              </w:rPr>
              <w:t>WEL Medicines Optimisation Team</w:t>
            </w:r>
          </w:p>
        </w:tc>
      </w:tr>
      <w:tr w:rsidR="00911AA9" w:rsidRPr="00B313EA" w14:paraId="2C01867A" w14:textId="77777777" w:rsidTr="00AB0A76">
        <w:tc>
          <w:tcPr>
            <w:tcW w:w="1231" w:type="dxa"/>
            <w:shd w:val="clear" w:color="auto" w:fill="auto"/>
          </w:tcPr>
          <w:p w14:paraId="24FED6A9" w14:textId="77777777" w:rsidR="00911AA9" w:rsidRPr="00B313EA" w:rsidRDefault="00911AA9" w:rsidP="00B313EA">
            <w:pPr>
              <w:spacing w:before="100" w:beforeAutospacing="1" w:after="100" w:afterAutospacing="1" w:line="360" w:lineRule="auto"/>
              <w:jc w:val="left"/>
              <w:rPr>
                <w:rFonts w:cs="Arial"/>
              </w:rPr>
            </w:pPr>
            <w:r>
              <w:rPr>
                <w:rFonts w:cs="Arial"/>
              </w:rPr>
              <w:t>December 2021</w:t>
            </w:r>
          </w:p>
        </w:tc>
        <w:tc>
          <w:tcPr>
            <w:tcW w:w="1100" w:type="dxa"/>
            <w:shd w:val="clear" w:color="auto" w:fill="auto"/>
          </w:tcPr>
          <w:p w14:paraId="5F7DD654" w14:textId="77777777" w:rsidR="00911AA9" w:rsidRPr="00B313EA" w:rsidRDefault="00911AA9" w:rsidP="00B313EA">
            <w:pPr>
              <w:spacing w:before="100" w:beforeAutospacing="1" w:after="100" w:afterAutospacing="1" w:line="360" w:lineRule="auto"/>
              <w:jc w:val="left"/>
              <w:rPr>
                <w:rFonts w:cs="Arial"/>
              </w:rPr>
            </w:pPr>
            <w:r>
              <w:rPr>
                <w:rFonts w:cs="Arial"/>
              </w:rPr>
              <w:t>1.3</w:t>
            </w:r>
          </w:p>
        </w:tc>
        <w:tc>
          <w:tcPr>
            <w:tcW w:w="4894" w:type="dxa"/>
            <w:shd w:val="clear" w:color="auto" w:fill="auto"/>
          </w:tcPr>
          <w:p w14:paraId="7994328C" w14:textId="77777777" w:rsidR="00911AA9" w:rsidRPr="00B313EA" w:rsidRDefault="00911AA9" w:rsidP="00F6469F">
            <w:pPr>
              <w:spacing w:before="100" w:beforeAutospacing="1" w:after="100" w:afterAutospacing="1" w:line="360" w:lineRule="auto"/>
              <w:jc w:val="left"/>
              <w:rPr>
                <w:rFonts w:cs="Arial"/>
              </w:rPr>
            </w:pPr>
            <w:r>
              <w:rPr>
                <w:rFonts w:cs="Arial"/>
              </w:rPr>
              <w:t>Update to reflect changes from WEL to TNW</w:t>
            </w:r>
          </w:p>
        </w:tc>
        <w:tc>
          <w:tcPr>
            <w:tcW w:w="2976" w:type="dxa"/>
            <w:shd w:val="clear" w:color="auto" w:fill="auto"/>
          </w:tcPr>
          <w:p w14:paraId="4564237D" w14:textId="77777777" w:rsidR="00911AA9" w:rsidRPr="00B313EA" w:rsidRDefault="00911AA9" w:rsidP="00B313EA">
            <w:pPr>
              <w:spacing w:before="100" w:beforeAutospacing="1" w:after="100" w:afterAutospacing="1" w:line="360" w:lineRule="auto"/>
              <w:jc w:val="left"/>
              <w:rPr>
                <w:rFonts w:cs="Arial"/>
              </w:rPr>
            </w:pPr>
          </w:p>
        </w:tc>
        <w:tc>
          <w:tcPr>
            <w:tcW w:w="4962" w:type="dxa"/>
            <w:shd w:val="clear" w:color="auto" w:fill="auto"/>
          </w:tcPr>
          <w:p w14:paraId="2DB24B5A" w14:textId="77777777" w:rsidR="00911AA9" w:rsidRPr="00B313EA" w:rsidRDefault="00911AA9" w:rsidP="00B313EA">
            <w:pPr>
              <w:spacing w:before="100" w:beforeAutospacing="1" w:after="100" w:afterAutospacing="1" w:line="360" w:lineRule="auto"/>
              <w:jc w:val="left"/>
              <w:rPr>
                <w:rFonts w:cs="Arial"/>
              </w:rPr>
            </w:pPr>
            <w:r w:rsidRPr="00911AA9">
              <w:rPr>
                <w:rFonts w:cs="Arial"/>
              </w:rPr>
              <w:t>WEL Medicines Optimisation Team</w:t>
            </w:r>
          </w:p>
        </w:tc>
      </w:tr>
      <w:tr w:rsidR="00911AA9" w:rsidRPr="00B313EA" w14:paraId="7A5C1393" w14:textId="77777777" w:rsidTr="00AB0A76">
        <w:tc>
          <w:tcPr>
            <w:tcW w:w="1231" w:type="dxa"/>
            <w:shd w:val="clear" w:color="auto" w:fill="auto"/>
          </w:tcPr>
          <w:p w14:paraId="5190B46F" w14:textId="77777777" w:rsidR="00911AA9" w:rsidRDefault="00911AA9" w:rsidP="00B313EA">
            <w:pPr>
              <w:spacing w:before="100" w:beforeAutospacing="1" w:after="100" w:afterAutospacing="1" w:line="360" w:lineRule="auto"/>
              <w:jc w:val="left"/>
              <w:rPr>
                <w:rFonts w:cs="Arial"/>
              </w:rPr>
            </w:pPr>
            <w:r>
              <w:rPr>
                <w:rFonts w:cs="Arial"/>
              </w:rPr>
              <w:t>May 2022</w:t>
            </w:r>
          </w:p>
        </w:tc>
        <w:tc>
          <w:tcPr>
            <w:tcW w:w="1100" w:type="dxa"/>
            <w:shd w:val="clear" w:color="auto" w:fill="auto"/>
          </w:tcPr>
          <w:p w14:paraId="3766F66B" w14:textId="77777777" w:rsidR="00911AA9" w:rsidRDefault="00911AA9" w:rsidP="00B313EA">
            <w:pPr>
              <w:spacing w:before="100" w:beforeAutospacing="1" w:after="100" w:afterAutospacing="1" w:line="360" w:lineRule="auto"/>
              <w:jc w:val="left"/>
              <w:rPr>
                <w:rFonts w:cs="Arial"/>
              </w:rPr>
            </w:pPr>
            <w:r>
              <w:rPr>
                <w:rFonts w:cs="Arial"/>
              </w:rPr>
              <w:t>1.4</w:t>
            </w:r>
          </w:p>
        </w:tc>
        <w:tc>
          <w:tcPr>
            <w:tcW w:w="4894" w:type="dxa"/>
            <w:shd w:val="clear" w:color="auto" w:fill="auto"/>
          </w:tcPr>
          <w:p w14:paraId="04083686" w14:textId="77777777" w:rsidR="00911AA9" w:rsidRDefault="00911AA9" w:rsidP="00F6469F">
            <w:pPr>
              <w:spacing w:before="100" w:beforeAutospacing="1" w:after="100" w:afterAutospacing="1" w:line="360" w:lineRule="auto"/>
              <w:jc w:val="left"/>
              <w:rPr>
                <w:rFonts w:cs="Arial"/>
              </w:rPr>
            </w:pPr>
            <w:r w:rsidRPr="00911AA9">
              <w:rPr>
                <w:rFonts w:cs="Arial"/>
              </w:rPr>
              <w:t>Update to reflect changes</w:t>
            </w:r>
            <w:r>
              <w:rPr>
                <w:rFonts w:cs="Arial"/>
              </w:rPr>
              <w:t xml:space="preserve"> in organisation name and move toward</w:t>
            </w:r>
            <w:r w:rsidR="000C5EF7">
              <w:rPr>
                <w:rFonts w:cs="Arial"/>
              </w:rPr>
              <w:t>s becoming an Integrated care Board (</w:t>
            </w:r>
            <w:r>
              <w:rPr>
                <w:rFonts w:cs="Arial"/>
              </w:rPr>
              <w:t>ICB</w:t>
            </w:r>
            <w:r w:rsidR="000C5EF7">
              <w:rPr>
                <w:rFonts w:cs="Arial"/>
              </w:rPr>
              <w:t>)</w:t>
            </w:r>
          </w:p>
        </w:tc>
        <w:tc>
          <w:tcPr>
            <w:tcW w:w="2976" w:type="dxa"/>
            <w:shd w:val="clear" w:color="auto" w:fill="auto"/>
          </w:tcPr>
          <w:p w14:paraId="4A206961" w14:textId="77777777" w:rsidR="00911AA9" w:rsidRPr="00B313EA" w:rsidRDefault="00911AA9" w:rsidP="00B313EA">
            <w:pPr>
              <w:spacing w:before="100" w:beforeAutospacing="1" w:after="100" w:afterAutospacing="1" w:line="360" w:lineRule="auto"/>
              <w:jc w:val="left"/>
              <w:rPr>
                <w:rFonts w:cs="Arial"/>
              </w:rPr>
            </w:pPr>
          </w:p>
        </w:tc>
        <w:tc>
          <w:tcPr>
            <w:tcW w:w="4962" w:type="dxa"/>
            <w:shd w:val="clear" w:color="auto" w:fill="auto"/>
          </w:tcPr>
          <w:p w14:paraId="587778A4" w14:textId="77777777" w:rsidR="00911AA9" w:rsidRPr="00911AA9" w:rsidRDefault="00CB66BD" w:rsidP="00B313EA">
            <w:pPr>
              <w:spacing w:before="100" w:beforeAutospacing="1" w:after="100" w:afterAutospacing="1" w:line="360" w:lineRule="auto"/>
              <w:jc w:val="left"/>
              <w:rPr>
                <w:rFonts w:cs="Arial"/>
              </w:rPr>
            </w:pPr>
            <w:r>
              <w:rPr>
                <w:rFonts w:cs="Arial"/>
              </w:rPr>
              <w:t>TNW Medicines Optimisation Board</w:t>
            </w:r>
          </w:p>
        </w:tc>
      </w:tr>
    </w:tbl>
    <w:p w14:paraId="3967F31A" w14:textId="77777777" w:rsidR="00B313EA" w:rsidRDefault="00B313EA" w:rsidP="00B313EA">
      <w:pPr>
        <w:spacing w:line="360" w:lineRule="auto"/>
        <w:rPr>
          <w:rFonts w:cs="Arial"/>
        </w:rPr>
      </w:pPr>
    </w:p>
    <w:p w14:paraId="63E5FA4B" w14:textId="77777777" w:rsidR="00AB0A76" w:rsidRDefault="00AB0A76" w:rsidP="00B313EA">
      <w:pPr>
        <w:spacing w:line="360" w:lineRule="auto"/>
        <w:rPr>
          <w:rFonts w:cs="Arial"/>
        </w:rPr>
        <w:sectPr w:rsidR="00AB0A76" w:rsidSect="00AB0A76">
          <w:pgSz w:w="16838" w:h="11906" w:orient="landscape"/>
          <w:pgMar w:top="992" w:right="1843" w:bottom="992" w:left="851" w:header="709" w:footer="448" w:gutter="0"/>
          <w:cols w:space="708"/>
          <w:docGrid w:linePitch="360"/>
        </w:sectPr>
      </w:pPr>
    </w:p>
    <w:p w14:paraId="08C004E3" w14:textId="77777777" w:rsidR="00B313EA" w:rsidRPr="00B313EA" w:rsidRDefault="00B313EA" w:rsidP="00B313EA">
      <w:pPr>
        <w:pStyle w:val="TOCHeading"/>
        <w:spacing w:line="360" w:lineRule="auto"/>
        <w:jc w:val="both"/>
        <w:rPr>
          <w:rFonts w:cs="Arial"/>
          <w:sz w:val="32"/>
          <w:szCs w:val="32"/>
        </w:rPr>
      </w:pPr>
      <w:r w:rsidRPr="00B313EA">
        <w:rPr>
          <w:rFonts w:cs="Arial"/>
          <w:sz w:val="32"/>
          <w:szCs w:val="32"/>
        </w:rPr>
        <w:lastRenderedPageBreak/>
        <w:t>Document approval</w:t>
      </w:r>
    </w:p>
    <w:tbl>
      <w:tblPr>
        <w:tblW w:w="1601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0" w:type="dxa"/>
        </w:tblCellMar>
        <w:tblLook w:val="0420" w:firstRow="1" w:lastRow="0" w:firstColumn="0" w:lastColumn="0" w:noHBand="0" w:noVBand="1"/>
      </w:tblPr>
      <w:tblGrid>
        <w:gridCol w:w="1060"/>
        <w:gridCol w:w="1109"/>
        <w:gridCol w:w="4206"/>
        <w:gridCol w:w="3685"/>
        <w:gridCol w:w="3969"/>
        <w:gridCol w:w="1985"/>
      </w:tblGrid>
      <w:tr w:rsidR="00D66428" w:rsidRPr="00B313EA" w14:paraId="5CADF254" w14:textId="77777777" w:rsidTr="00D66428">
        <w:trPr>
          <w:tblHeader/>
        </w:trPr>
        <w:tc>
          <w:tcPr>
            <w:tcW w:w="1060" w:type="dxa"/>
            <w:shd w:val="clear" w:color="auto" w:fill="auto"/>
          </w:tcPr>
          <w:p w14:paraId="498832AF" w14:textId="77777777" w:rsidR="00D66428" w:rsidRPr="00B313EA" w:rsidRDefault="00D66428" w:rsidP="00B313EA">
            <w:pPr>
              <w:spacing w:line="360" w:lineRule="auto"/>
              <w:jc w:val="left"/>
              <w:rPr>
                <w:rFonts w:cs="Arial"/>
                <w:b/>
              </w:rPr>
            </w:pPr>
            <w:r w:rsidRPr="00B313EA">
              <w:rPr>
                <w:rFonts w:cs="Arial"/>
                <w:b/>
              </w:rPr>
              <w:t>Date</w:t>
            </w:r>
          </w:p>
        </w:tc>
        <w:tc>
          <w:tcPr>
            <w:tcW w:w="1109" w:type="dxa"/>
            <w:shd w:val="clear" w:color="auto" w:fill="auto"/>
          </w:tcPr>
          <w:p w14:paraId="090D4296" w14:textId="77777777" w:rsidR="00D66428" w:rsidRPr="00B313EA" w:rsidRDefault="00D66428" w:rsidP="00B313EA">
            <w:pPr>
              <w:spacing w:line="360" w:lineRule="auto"/>
              <w:jc w:val="left"/>
              <w:rPr>
                <w:rFonts w:cs="Arial"/>
                <w:b/>
              </w:rPr>
            </w:pPr>
            <w:r w:rsidRPr="00B313EA">
              <w:rPr>
                <w:rFonts w:cs="Arial"/>
                <w:b/>
              </w:rPr>
              <w:t>Version</w:t>
            </w:r>
          </w:p>
        </w:tc>
        <w:tc>
          <w:tcPr>
            <w:tcW w:w="4206" w:type="dxa"/>
            <w:shd w:val="clear" w:color="auto" w:fill="auto"/>
          </w:tcPr>
          <w:p w14:paraId="5CC03441" w14:textId="77777777" w:rsidR="00D66428" w:rsidRPr="00B313EA" w:rsidRDefault="00D66428" w:rsidP="00B313EA">
            <w:pPr>
              <w:spacing w:line="360" w:lineRule="auto"/>
              <w:jc w:val="left"/>
              <w:rPr>
                <w:rFonts w:cs="Arial"/>
                <w:b/>
              </w:rPr>
            </w:pPr>
            <w:r w:rsidRPr="00B313EA">
              <w:rPr>
                <w:rFonts w:cs="Arial"/>
                <w:b/>
              </w:rPr>
              <w:t>Revision</w:t>
            </w:r>
          </w:p>
        </w:tc>
        <w:tc>
          <w:tcPr>
            <w:tcW w:w="3685" w:type="dxa"/>
            <w:shd w:val="clear" w:color="auto" w:fill="auto"/>
          </w:tcPr>
          <w:p w14:paraId="54A1918E" w14:textId="77777777" w:rsidR="00D66428" w:rsidRPr="00B313EA" w:rsidRDefault="00D66428" w:rsidP="00B313EA">
            <w:pPr>
              <w:spacing w:line="360" w:lineRule="auto"/>
              <w:jc w:val="left"/>
              <w:rPr>
                <w:rFonts w:cs="Arial"/>
                <w:b/>
              </w:rPr>
            </w:pPr>
            <w:r w:rsidRPr="00B313EA">
              <w:rPr>
                <w:rFonts w:cs="Arial"/>
                <w:b/>
              </w:rPr>
              <w:t>Role of approver</w:t>
            </w:r>
          </w:p>
        </w:tc>
        <w:tc>
          <w:tcPr>
            <w:tcW w:w="3969" w:type="dxa"/>
            <w:shd w:val="clear" w:color="auto" w:fill="auto"/>
          </w:tcPr>
          <w:p w14:paraId="5559DCA9" w14:textId="77777777" w:rsidR="00D66428" w:rsidRPr="00B313EA" w:rsidRDefault="00D66428" w:rsidP="00B313EA">
            <w:pPr>
              <w:spacing w:line="360" w:lineRule="auto"/>
              <w:jc w:val="left"/>
              <w:rPr>
                <w:rFonts w:cs="Arial"/>
                <w:b/>
              </w:rPr>
            </w:pPr>
            <w:r w:rsidRPr="00B313EA">
              <w:rPr>
                <w:rFonts w:cs="Arial"/>
                <w:b/>
              </w:rPr>
              <w:t>Approver</w:t>
            </w:r>
          </w:p>
        </w:tc>
        <w:tc>
          <w:tcPr>
            <w:tcW w:w="1985" w:type="dxa"/>
          </w:tcPr>
          <w:p w14:paraId="737324B2" w14:textId="77777777" w:rsidR="00D66428" w:rsidRPr="00D66428" w:rsidRDefault="00D66428" w:rsidP="00D66428">
            <w:pPr>
              <w:spacing w:line="360" w:lineRule="auto"/>
              <w:rPr>
                <w:rFonts w:cs="Arial"/>
                <w:b/>
              </w:rPr>
            </w:pPr>
            <w:r w:rsidRPr="00D66428">
              <w:rPr>
                <w:rFonts w:cs="Arial"/>
                <w:b/>
              </w:rPr>
              <w:t>Next review Date</w:t>
            </w:r>
          </w:p>
          <w:p w14:paraId="2353B0AF" w14:textId="77777777" w:rsidR="00D66428" w:rsidRPr="00D66428" w:rsidRDefault="00D66428" w:rsidP="00B313EA">
            <w:pPr>
              <w:spacing w:line="360" w:lineRule="auto"/>
              <w:jc w:val="left"/>
              <w:rPr>
                <w:rFonts w:cs="Arial"/>
                <w:b/>
              </w:rPr>
            </w:pPr>
          </w:p>
        </w:tc>
      </w:tr>
      <w:tr w:rsidR="00D66428" w:rsidRPr="00B313EA" w14:paraId="6A977265" w14:textId="77777777" w:rsidTr="00D66428">
        <w:tc>
          <w:tcPr>
            <w:tcW w:w="1060" w:type="dxa"/>
            <w:shd w:val="clear" w:color="auto" w:fill="auto"/>
          </w:tcPr>
          <w:p w14:paraId="183668AB" w14:textId="77777777" w:rsidR="00D66428" w:rsidRPr="00B313EA" w:rsidRDefault="00D66428" w:rsidP="00B313EA">
            <w:pPr>
              <w:spacing w:line="360" w:lineRule="auto"/>
              <w:jc w:val="left"/>
              <w:rPr>
                <w:rFonts w:cs="Arial"/>
              </w:rPr>
            </w:pPr>
            <w:r w:rsidRPr="00B313EA">
              <w:rPr>
                <w:rFonts w:cs="Arial"/>
              </w:rPr>
              <w:t>March 18, 2020</w:t>
            </w:r>
          </w:p>
        </w:tc>
        <w:tc>
          <w:tcPr>
            <w:tcW w:w="1109" w:type="dxa"/>
            <w:shd w:val="clear" w:color="auto" w:fill="auto"/>
          </w:tcPr>
          <w:p w14:paraId="7A5A2E07" w14:textId="77777777" w:rsidR="00D66428" w:rsidRPr="00B313EA" w:rsidRDefault="00D66428" w:rsidP="00B313EA">
            <w:pPr>
              <w:spacing w:line="360" w:lineRule="auto"/>
              <w:jc w:val="left"/>
              <w:rPr>
                <w:rFonts w:cs="Arial"/>
              </w:rPr>
            </w:pPr>
            <w:r w:rsidRPr="00B313EA">
              <w:rPr>
                <w:rFonts w:cs="Arial"/>
              </w:rPr>
              <w:t>1.1</w:t>
            </w:r>
          </w:p>
        </w:tc>
        <w:tc>
          <w:tcPr>
            <w:tcW w:w="4206" w:type="dxa"/>
            <w:shd w:val="clear" w:color="auto" w:fill="auto"/>
          </w:tcPr>
          <w:p w14:paraId="70A4AE70" w14:textId="77777777" w:rsidR="00D66428" w:rsidRPr="00B313EA" w:rsidRDefault="00D66428" w:rsidP="00B313EA">
            <w:pPr>
              <w:spacing w:line="360" w:lineRule="auto"/>
              <w:jc w:val="left"/>
              <w:rPr>
                <w:rFonts w:cs="Arial"/>
              </w:rPr>
            </w:pPr>
            <w:r w:rsidRPr="00B313EA">
              <w:rPr>
                <w:rFonts w:cs="Arial"/>
              </w:rPr>
              <w:t>Amendments to clarify rationale for keeping a record of prescription form serial numbers</w:t>
            </w:r>
          </w:p>
        </w:tc>
        <w:tc>
          <w:tcPr>
            <w:tcW w:w="3685" w:type="dxa"/>
            <w:shd w:val="clear" w:color="auto" w:fill="auto"/>
          </w:tcPr>
          <w:p w14:paraId="78C4EE1A" w14:textId="77777777" w:rsidR="00D66428" w:rsidRPr="00B313EA" w:rsidRDefault="00D66428" w:rsidP="00B313EA">
            <w:pPr>
              <w:spacing w:line="360" w:lineRule="auto"/>
              <w:jc w:val="left"/>
              <w:rPr>
                <w:rFonts w:cs="Arial"/>
              </w:rPr>
            </w:pPr>
            <w:r w:rsidRPr="00B313EA">
              <w:rPr>
                <w:rFonts w:cs="Arial"/>
              </w:rPr>
              <w:t>Committee responsible for oversight of Medicines Optimisation Strategy and Governance</w:t>
            </w:r>
          </w:p>
        </w:tc>
        <w:tc>
          <w:tcPr>
            <w:tcW w:w="3969" w:type="dxa"/>
            <w:shd w:val="clear" w:color="auto" w:fill="auto"/>
          </w:tcPr>
          <w:p w14:paraId="35EF5F8B" w14:textId="77777777" w:rsidR="00D66428" w:rsidRPr="00B313EA" w:rsidRDefault="00D66428" w:rsidP="00B313EA">
            <w:pPr>
              <w:spacing w:line="360" w:lineRule="auto"/>
              <w:jc w:val="left"/>
              <w:rPr>
                <w:rFonts w:cs="Arial"/>
              </w:rPr>
            </w:pPr>
            <w:r w:rsidRPr="00B313EA">
              <w:rPr>
                <w:rFonts w:cs="Arial"/>
              </w:rPr>
              <w:t>Newham and Waltham Forest CCG Medicines Optimisation Committee</w:t>
            </w:r>
          </w:p>
        </w:tc>
        <w:tc>
          <w:tcPr>
            <w:tcW w:w="1985" w:type="dxa"/>
          </w:tcPr>
          <w:p w14:paraId="3B313A54" w14:textId="77777777" w:rsidR="00D66428" w:rsidRPr="00B313EA" w:rsidRDefault="00D66428" w:rsidP="00B313EA">
            <w:pPr>
              <w:spacing w:line="360" w:lineRule="auto"/>
              <w:jc w:val="left"/>
              <w:rPr>
                <w:rFonts w:cs="Arial"/>
              </w:rPr>
            </w:pPr>
          </w:p>
        </w:tc>
      </w:tr>
      <w:tr w:rsidR="00D66428" w:rsidRPr="00B313EA" w14:paraId="260D1340" w14:textId="77777777" w:rsidTr="00D66428">
        <w:tc>
          <w:tcPr>
            <w:tcW w:w="1060" w:type="dxa"/>
            <w:shd w:val="clear" w:color="auto" w:fill="auto"/>
          </w:tcPr>
          <w:p w14:paraId="4F0C6A47" w14:textId="77777777" w:rsidR="00D66428" w:rsidRPr="00D045E6" w:rsidRDefault="00D66428" w:rsidP="00B313EA">
            <w:pPr>
              <w:spacing w:line="360" w:lineRule="auto"/>
              <w:jc w:val="left"/>
              <w:rPr>
                <w:rFonts w:cs="Arial"/>
              </w:rPr>
            </w:pPr>
            <w:r w:rsidRPr="00D045E6">
              <w:rPr>
                <w:rFonts w:cs="Arial"/>
              </w:rPr>
              <w:t>July 22, 2020</w:t>
            </w:r>
          </w:p>
        </w:tc>
        <w:tc>
          <w:tcPr>
            <w:tcW w:w="1109" w:type="dxa"/>
            <w:shd w:val="clear" w:color="auto" w:fill="auto"/>
          </w:tcPr>
          <w:p w14:paraId="2A55FA9D" w14:textId="77777777" w:rsidR="00D66428" w:rsidRPr="00D045E6" w:rsidRDefault="00D66428" w:rsidP="00B313EA">
            <w:pPr>
              <w:spacing w:line="360" w:lineRule="auto"/>
              <w:jc w:val="left"/>
              <w:rPr>
                <w:rFonts w:cs="Arial"/>
              </w:rPr>
            </w:pPr>
            <w:r w:rsidRPr="00D045E6">
              <w:rPr>
                <w:rFonts w:cs="Arial"/>
              </w:rPr>
              <w:t>1.2</w:t>
            </w:r>
          </w:p>
        </w:tc>
        <w:tc>
          <w:tcPr>
            <w:tcW w:w="4206" w:type="dxa"/>
            <w:shd w:val="clear" w:color="auto" w:fill="auto"/>
          </w:tcPr>
          <w:p w14:paraId="3F7C2430" w14:textId="77777777" w:rsidR="00D66428" w:rsidRPr="00D045E6" w:rsidRDefault="00D66428" w:rsidP="00F6469F">
            <w:pPr>
              <w:spacing w:line="360" w:lineRule="auto"/>
              <w:jc w:val="left"/>
              <w:rPr>
                <w:rFonts w:cs="Arial"/>
              </w:rPr>
            </w:pPr>
            <w:r w:rsidRPr="00D045E6">
              <w:rPr>
                <w:rFonts w:cs="Arial"/>
              </w:rPr>
              <w:t>Updated with comments from Tower Hamlets Medicines Optimisation Team</w:t>
            </w:r>
            <w:r>
              <w:rPr>
                <w:rFonts w:cs="Arial"/>
              </w:rPr>
              <w:t xml:space="preserve"> </w:t>
            </w:r>
          </w:p>
        </w:tc>
        <w:tc>
          <w:tcPr>
            <w:tcW w:w="3685" w:type="dxa"/>
            <w:shd w:val="clear" w:color="auto" w:fill="auto"/>
          </w:tcPr>
          <w:p w14:paraId="18852666" w14:textId="77777777" w:rsidR="00D66428" w:rsidRPr="007A0102" w:rsidRDefault="00D66428" w:rsidP="00B313EA">
            <w:pPr>
              <w:spacing w:line="360" w:lineRule="auto"/>
              <w:jc w:val="left"/>
              <w:rPr>
                <w:rFonts w:cs="Arial"/>
                <w:highlight w:val="yellow"/>
              </w:rPr>
            </w:pPr>
            <w:r w:rsidRPr="00B313EA">
              <w:rPr>
                <w:rFonts w:cs="Arial"/>
              </w:rPr>
              <w:t>Committee responsible for oversight of Medicines Optimisation Strategy and Governance</w:t>
            </w:r>
          </w:p>
        </w:tc>
        <w:tc>
          <w:tcPr>
            <w:tcW w:w="3969" w:type="dxa"/>
            <w:shd w:val="clear" w:color="auto" w:fill="auto"/>
          </w:tcPr>
          <w:p w14:paraId="471ECC2E" w14:textId="77777777" w:rsidR="00D66428" w:rsidRPr="007A0102" w:rsidRDefault="00D66428" w:rsidP="00B313EA">
            <w:pPr>
              <w:spacing w:line="360" w:lineRule="auto"/>
              <w:jc w:val="left"/>
              <w:rPr>
                <w:rFonts w:cs="Arial"/>
                <w:highlight w:val="yellow"/>
              </w:rPr>
            </w:pPr>
            <w:r w:rsidRPr="00D045E6">
              <w:rPr>
                <w:rFonts w:cs="Arial"/>
              </w:rPr>
              <w:t>Wa</w:t>
            </w:r>
            <w:r>
              <w:rPr>
                <w:rFonts w:cs="Arial"/>
              </w:rPr>
              <w:t>ltham Forest and East London Medicines Optimisation &amp; Commissioning Committee (WELMOCC)</w:t>
            </w:r>
          </w:p>
        </w:tc>
        <w:tc>
          <w:tcPr>
            <w:tcW w:w="1985" w:type="dxa"/>
          </w:tcPr>
          <w:p w14:paraId="038BD23D" w14:textId="77777777" w:rsidR="00D66428" w:rsidRPr="00D045E6" w:rsidRDefault="00D66428" w:rsidP="00B313EA">
            <w:pPr>
              <w:spacing w:line="360" w:lineRule="auto"/>
              <w:jc w:val="left"/>
              <w:rPr>
                <w:rFonts w:cs="Arial"/>
              </w:rPr>
            </w:pPr>
          </w:p>
        </w:tc>
      </w:tr>
      <w:tr w:rsidR="00D66428" w:rsidRPr="00B313EA" w14:paraId="20E82DFD" w14:textId="77777777" w:rsidTr="00D66428">
        <w:tc>
          <w:tcPr>
            <w:tcW w:w="1060" w:type="dxa"/>
            <w:shd w:val="clear" w:color="auto" w:fill="auto"/>
          </w:tcPr>
          <w:p w14:paraId="5EA854B7" w14:textId="77777777" w:rsidR="00D66428" w:rsidRPr="00D045E6" w:rsidRDefault="00CB66BD" w:rsidP="00B313EA">
            <w:pPr>
              <w:spacing w:line="360" w:lineRule="auto"/>
              <w:jc w:val="left"/>
              <w:rPr>
                <w:rFonts w:cs="Arial"/>
              </w:rPr>
            </w:pPr>
            <w:r>
              <w:rPr>
                <w:rFonts w:cs="Arial"/>
              </w:rPr>
              <w:t>June 22</w:t>
            </w:r>
            <w:r w:rsidR="00D66428">
              <w:rPr>
                <w:rFonts w:cs="Arial"/>
              </w:rPr>
              <w:t xml:space="preserve"> 2022</w:t>
            </w:r>
          </w:p>
        </w:tc>
        <w:tc>
          <w:tcPr>
            <w:tcW w:w="1109" w:type="dxa"/>
            <w:shd w:val="clear" w:color="auto" w:fill="auto"/>
          </w:tcPr>
          <w:p w14:paraId="7AC6E1D8" w14:textId="77777777" w:rsidR="00D66428" w:rsidRPr="00D045E6" w:rsidRDefault="00D66428" w:rsidP="00B313EA">
            <w:pPr>
              <w:spacing w:line="360" w:lineRule="auto"/>
              <w:jc w:val="left"/>
              <w:rPr>
                <w:rFonts w:cs="Arial"/>
              </w:rPr>
            </w:pPr>
            <w:r>
              <w:rPr>
                <w:rFonts w:cs="Arial"/>
              </w:rPr>
              <w:t>1.4</w:t>
            </w:r>
          </w:p>
        </w:tc>
        <w:tc>
          <w:tcPr>
            <w:tcW w:w="4206" w:type="dxa"/>
            <w:shd w:val="clear" w:color="auto" w:fill="auto"/>
          </w:tcPr>
          <w:p w14:paraId="3AD314DA" w14:textId="77777777" w:rsidR="00D66428" w:rsidRDefault="00D66428" w:rsidP="00911AA9">
            <w:pPr>
              <w:pStyle w:val="ListParagraph"/>
              <w:numPr>
                <w:ilvl w:val="0"/>
                <w:numId w:val="46"/>
              </w:numPr>
              <w:spacing w:line="360" w:lineRule="auto"/>
              <w:jc w:val="left"/>
              <w:rPr>
                <w:rFonts w:cs="Arial"/>
              </w:rPr>
            </w:pPr>
            <w:r w:rsidRPr="00911AA9">
              <w:rPr>
                <w:rFonts w:cs="Arial"/>
              </w:rPr>
              <w:t>Changed reference to WEL to TNW and updated links</w:t>
            </w:r>
          </w:p>
          <w:p w14:paraId="4ED3D2ED" w14:textId="77777777" w:rsidR="00D66428" w:rsidRDefault="00D66428" w:rsidP="00911AA9">
            <w:pPr>
              <w:pStyle w:val="ListParagraph"/>
              <w:numPr>
                <w:ilvl w:val="0"/>
                <w:numId w:val="46"/>
              </w:numPr>
              <w:spacing w:line="360" w:lineRule="auto"/>
              <w:jc w:val="left"/>
              <w:rPr>
                <w:rFonts w:cs="Arial"/>
              </w:rPr>
            </w:pPr>
            <w:r>
              <w:rPr>
                <w:rFonts w:cs="Arial"/>
              </w:rPr>
              <w:t>Cover template from WEL to NEL version</w:t>
            </w:r>
          </w:p>
          <w:p w14:paraId="2F4F9EDF" w14:textId="77777777" w:rsidR="00D66428" w:rsidRPr="00911AA9" w:rsidRDefault="00D66428" w:rsidP="00911AA9">
            <w:pPr>
              <w:pStyle w:val="ListParagraph"/>
              <w:numPr>
                <w:ilvl w:val="0"/>
                <w:numId w:val="46"/>
              </w:numPr>
              <w:spacing w:line="360" w:lineRule="auto"/>
              <w:jc w:val="left"/>
              <w:rPr>
                <w:rFonts w:cs="Arial"/>
              </w:rPr>
            </w:pPr>
            <w:r>
              <w:rPr>
                <w:rFonts w:cs="Arial"/>
              </w:rPr>
              <w:t>Inserted Link to HEE</w:t>
            </w:r>
          </w:p>
        </w:tc>
        <w:tc>
          <w:tcPr>
            <w:tcW w:w="3685" w:type="dxa"/>
            <w:shd w:val="clear" w:color="auto" w:fill="auto"/>
          </w:tcPr>
          <w:p w14:paraId="1C8EA383" w14:textId="77777777" w:rsidR="00D66428" w:rsidRPr="00B313EA" w:rsidRDefault="00D66428" w:rsidP="00B313EA">
            <w:pPr>
              <w:spacing w:line="360" w:lineRule="auto"/>
              <w:jc w:val="left"/>
              <w:rPr>
                <w:rFonts w:cs="Arial"/>
              </w:rPr>
            </w:pPr>
            <w:r w:rsidRPr="00B313EA">
              <w:rPr>
                <w:rFonts w:cs="Arial"/>
              </w:rPr>
              <w:t>Committee responsible for oversight of Medicines Optimisation Strategy and Governance</w:t>
            </w:r>
          </w:p>
        </w:tc>
        <w:tc>
          <w:tcPr>
            <w:tcW w:w="3969" w:type="dxa"/>
            <w:shd w:val="clear" w:color="auto" w:fill="auto"/>
          </w:tcPr>
          <w:p w14:paraId="27238B8B" w14:textId="77777777" w:rsidR="00D66428" w:rsidRPr="00D045E6" w:rsidRDefault="00D66428" w:rsidP="00B313EA">
            <w:pPr>
              <w:spacing w:line="360" w:lineRule="auto"/>
              <w:jc w:val="left"/>
              <w:rPr>
                <w:rFonts w:cs="Arial"/>
              </w:rPr>
            </w:pPr>
            <w:r>
              <w:rPr>
                <w:rFonts w:cs="Arial"/>
              </w:rPr>
              <w:t xml:space="preserve">TNW Primary Care Medicines </w:t>
            </w:r>
          </w:p>
        </w:tc>
        <w:tc>
          <w:tcPr>
            <w:tcW w:w="1985" w:type="dxa"/>
          </w:tcPr>
          <w:p w14:paraId="19AD1AC1" w14:textId="77777777" w:rsidR="00D66428" w:rsidRDefault="00CB66BD" w:rsidP="00B313EA">
            <w:pPr>
              <w:spacing w:line="360" w:lineRule="auto"/>
              <w:jc w:val="left"/>
              <w:rPr>
                <w:rFonts w:cs="Arial"/>
              </w:rPr>
            </w:pPr>
            <w:r>
              <w:rPr>
                <w:rFonts w:cs="Arial"/>
              </w:rPr>
              <w:t>May 2024</w:t>
            </w:r>
          </w:p>
        </w:tc>
      </w:tr>
    </w:tbl>
    <w:p w14:paraId="06390E84" w14:textId="77777777" w:rsidR="00AB0A76" w:rsidRDefault="00AB0A76" w:rsidP="00DA502D">
      <w:pPr>
        <w:rPr>
          <w:rFonts w:cs="Arial"/>
          <w:b/>
        </w:rPr>
        <w:sectPr w:rsidR="00AB0A76" w:rsidSect="00AB0A76">
          <w:pgSz w:w="16838" w:h="11906" w:orient="landscape"/>
          <w:pgMar w:top="992" w:right="1843" w:bottom="992" w:left="851" w:header="709" w:footer="448" w:gutter="0"/>
          <w:cols w:space="708"/>
          <w:docGrid w:linePitch="360"/>
        </w:sectPr>
      </w:pPr>
    </w:p>
    <w:p w14:paraId="55EE9BFE" w14:textId="77777777" w:rsidR="0070797B" w:rsidRPr="004A15C9" w:rsidRDefault="00D66428" w:rsidP="005D07F7">
      <w:pPr>
        <w:rPr>
          <w:b/>
          <w:color w:val="2F5496"/>
          <w:sz w:val="28"/>
          <w:szCs w:val="28"/>
        </w:rPr>
      </w:pPr>
      <w:r>
        <w:rPr>
          <w:b/>
          <w:color w:val="2F5496"/>
          <w:sz w:val="28"/>
          <w:szCs w:val="28"/>
        </w:rPr>
        <w:lastRenderedPageBreak/>
        <w:t>C</w:t>
      </w:r>
      <w:r w:rsidR="0070797B" w:rsidRPr="004A15C9">
        <w:rPr>
          <w:b/>
          <w:color w:val="2F5496"/>
          <w:sz w:val="28"/>
          <w:szCs w:val="28"/>
        </w:rPr>
        <w:t>ontents</w:t>
      </w:r>
    </w:p>
    <w:p w14:paraId="3DE34866" w14:textId="0751CD78" w:rsidR="00F6469F" w:rsidRDefault="0070797B">
      <w:pPr>
        <w:pStyle w:val="TOC1"/>
        <w:tabs>
          <w:tab w:val="right" w:leader="dot" w:pos="9912"/>
        </w:tabs>
        <w:rPr>
          <w:rFonts w:asciiTheme="minorHAnsi" w:eastAsiaTheme="minorEastAsia" w:hAnsiTheme="minorHAnsi" w:cstheme="minorBidi"/>
          <w:b w:val="0"/>
          <w:bCs w:val="0"/>
          <w:noProof/>
          <w:sz w:val="22"/>
          <w:szCs w:val="22"/>
          <w:lang w:eastAsia="en-GB"/>
        </w:rPr>
      </w:pPr>
      <w:r>
        <w:rPr>
          <w:b w:val="0"/>
          <w:bCs w:val="0"/>
          <w:noProof/>
        </w:rPr>
        <w:fldChar w:fldCharType="begin"/>
      </w:r>
      <w:r>
        <w:rPr>
          <w:b w:val="0"/>
          <w:bCs w:val="0"/>
          <w:noProof/>
        </w:rPr>
        <w:instrText xml:space="preserve"> TOC \o "1-3" \h \z \u </w:instrText>
      </w:r>
      <w:r>
        <w:rPr>
          <w:b w:val="0"/>
          <w:bCs w:val="0"/>
          <w:noProof/>
        </w:rPr>
        <w:fldChar w:fldCharType="separate"/>
      </w:r>
      <w:hyperlink w:anchor="_Toc46843638" w:history="1">
        <w:r w:rsidR="00F6469F" w:rsidRPr="00F47E38">
          <w:rPr>
            <w:rStyle w:val="Hyperlink"/>
            <w:noProof/>
          </w:rPr>
          <w:t>1.0 Policy Statement</w:t>
        </w:r>
        <w:r w:rsidR="00F6469F">
          <w:rPr>
            <w:noProof/>
            <w:webHidden/>
          </w:rPr>
          <w:tab/>
        </w:r>
        <w:r w:rsidR="00F6469F">
          <w:rPr>
            <w:noProof/>
            <w:webHidden/>
          </w:rPr>
          <w:fldChar w:fldCharType="begin"/>
        </w:r>
        <w:r w:rsidR="00F6469F">
          <w:rPr>
            <w:noProof/>
            <w:webHidden/>
          </w:rPr>
          <w:instrText xml:space="preserve"> PAGEREF _Toc46843638 \h </w:instrText>
        </w:r>
        <w:r w:rsidR="00F6469F">
          <w:rPr>
            <w:noProof/>
            <w:webHidden/>
          </w:rPr>
        </w:r>
        <w:r w:rsidR="00F6469F">
          <w:rPr>
            <w:noProof/>
            <w:webHidden/>
          </w:rPr>
          <w:fldChar w:fldCharType="separate"/>
        </w:r>
        <w:r w:rsidR="00CF2869">
          <w:rPr>
            <w:noProof/>
            <w:webHidden/>
          </w:rPr>
          <w:t>6</w:t>
        </w:r>
        <w:r w:rsidR="00F6469F">
          <w:rPr>
            <w:noProof/>
            <w:webHidden/>
          </w:rPr>
          <w:fldChar w:fldCharType="end"/>
        </w:r>
      </w:hyperlink>
    </w:p>
    <w:p w14:paraId="535D44D3" w14:textId="7023D17C" w:rsidR="00F6469F" w:rsidRDefault="00CF2869">
      <w:pPr>
        <w:pStyle w:val="TOC2"/>
        <w:tabs>
          <w:tab w:val="left" w:pos="880"/>
          <w:tab w:val="right" w:leader="dot" w:pos="9912"/>
        </w:tabs>
        <w:rPr>
          <w:rFonts w:asciiTheme="minorHAnsi" w:eastAsiaTheme="minorEastAsia" w:hAnsiTheme="minorHAnsi" w:cstheme="minorBidi"/>
          <w:i w:val="0"/>
          <w:iCs w:val="0"/>
          <w:noProof/>
          <w:sz w:val="22"/>
          <w:szCs w:val="22"/>
          <w:lang w:eastAsia="en-GB"/>
        </w:rPr>
      </w:pPr>
      <w:hyperlink w:anchor="_Toc46843639" w:history="1">
        <w:r w:rsidR="00F6469F" w:rsidRPr="00F47E38">
          <w:rPr>
            <w:rStyle w:val="Hyperlink"/>
            <w:noProof/>
          </w:rPr>
          <w:t>1.1.</w:t>
        </w:r>
        <w:r w:rsidR="00F6469F">
          <w:rPr>
            <w:rFonts w:asciiTheme="minorHAnsi" w:eastAsiaTheme="minorEastAsia" w:hAnsiTheme="minorHAnsi" w:cstheme="minorBidi"/>
            <w:i w:val="0"/>
            <w:iCs w:val="0"/>
            <w:noProof/>
            <w:sz w:val="22"/>
            <w:szCs w:val="22"/>
            <w:lang w:eastAsia="en-GB"/>
          </w:rPr>
          <w:tab/>
        </w:r>
        <w:r w:rsidR="00F6469F" w:rsidRPr="00F47E38">
          <w:rPr>
            <w:rStyle w:val="Hyperlink"/>
            <w:noProof/>
          </w:rPr>
          <w:t>General Principles that underpin Non-Medical Prescribing</w:t>
        </w:r>
        <w:r w:rsidR="00F6469F">
          <w:rPr>
            <w:noProof/>
            <w:webHidden/>
          </w:rPr>
          <w:tab/>
        </w:r>
        <w:r w:rsidR="00F6469F">
          <w:rPr>
            <w:noProof/>
            <w:webHidden/>
          </w:rPr>
          <w:fldChar w:fldCharType="begin"/>
        </w:r>
        <w:r w:rsidR="00F6469F">
          <w:rPr>
            <w:noProof/>
            <w:webHidden/>
          </w:rPr>
          <w:instrText xml:space="preserve"> PAGEREF _Toc46843639 \h </w:instrText>
        </w:r>
        <w:r w:rsidR="00F6469F">
          <w:rPr>
            <w:noProof/>
            <w:webHidden/>
          </w:rPr>
        </w:r>
        <w:r w:rsidR="00F6469F">
          <w:rPr>
            <w:noProof/>
            <w:webHidden/>
          </w:rPr>
          <w:fldChar w:fldCharType="separate"/>
        </w:r>
        <w:r>
          <w:rPr>
            <w:noProof/>
            <w:webHidden/>
          </w:rPr>
          <w:t>6</w:t>
        </w:r>
        <w:r w:rsidR="00F6469F">
          <w:rPr>
            <w:noProof/>
            <w:webHidden/>
          </w:rPr>
          <w:fldChar w:fldCharType="end"/>
        </w:r>
      </w:hyperlink>
    </w:p>
    <w:p w14:paraId="3C262F57" w14:textId="0EB86A01" w:rsidR="00F6469F" w:rsidRDefault="00CF2869">
      <w:pPr>
        <w:pStyle w:val="TOC2"/>
        <w:tabs>
          <w:tab w:val="left" w:pos="880"/>
          <w:tab w:val="right" w:leader="dot" w:pos="9912"/>
        </w:tabs>
        <w:rPr>
          <w:rFonts w:asciiTheme="minorHAnsi" w:eastAsiaTheme="minorEastAsia" w:hAnsiTheme="minorHAnsi" w:cstheme="minorBidi"/>
          <w:i w:val="0"/>
          <w:iCs w:val="0"/>
          <w:noProof/>
          <w:sz w:val="22"/>
          <w:szCs w:val="22"/>
          <w:lang w:eastAsia="en-GB"/>
        </w:rPr>
      </w:pPr>
      <w:hyperlink w:anchor="_Toc46843640" w:history="1">
        <w:r w:rsidR="00F6469F" w:rsidRPr="00F47E38">
          <w:rPr>
            <w:rStyle w:val="Hyperlink"/>
            <w:noProof/>
          </w:rPr>
          <w:t>1.2</w:t>
        </w:r>
        <w:r w:rsidR="00F6469F">
          <w:rPr>
            <w:rFonts w:asciiTheme="minorHAnsi" w:eastAsiaTheme="minorEastAsia" w:hAnsiTheme="minorHAnsi" w:cstheme="minorBidi"/>
            <w:i w:val="0"/>
            <w:iCs w:val="0"/>
            <w:noProof/>
            <w:sz w:val="22"/>
            <w:szCs w:val="22"/>
            <w:lang w:eastAsia="en-GB"/>
          </w:rPr>
          <w:tab/>
        </w:r>
        <w:r w:rsidR="00F6469F" w:rsidRPr="00F47E38">
          <w:rPr>
            <w:rStyle w:val="Hyperlink"/>
            <w:noProof/>
          </w:rPr>
          <w:t>Scope of this policy</w:t>
        </w:r>
        <w:r w:rsidR="00F6469F">
          <w:rPr>
            <w:noProof/>
            <w:webHidden/>
          </w:rPr>
          <w:tab/>
        </w:r>
        <w:r w:rsidR="00F6469F">
          <w:rPr>
            <w:noProof/>
            <w:webHidden/>
          </w:rPr>
          <w:fldChar w:fldCharType="begin"/>
        </w:r>
        <w:r w:rsidR="00F6469F">
          <w:rPr>
            <w:noProof/>
            <w:webHidden/>
          </w:rPr>
          <w:instrText xml:space="preserve"> PAGEREF _Toc46843640 \h </w:instrText>
        </w:r>
        <w:r w:rsidR="00F6469F">
          <w:rPr>
            <w:noProof/>
            <w:webHidden/>
          </w:rPr>
        </w:r>
        <w:r w:rsidR="00F6469F">
          <w:rPr>
            <w:noProof/>
            <w:webHidden/>
          </w:rPr>
          <w:fldChar w:fldCharType="separate"/>
        </w:r>
        <w:r>
          <w:rPr>
            <w:noProof/>
            <w:webHidden/>
          </w:rPr>
          <w:t>6</w:t>
        </w:r>
        <w:r w:rsidR="00F6469F">
          <w:rPr>
            <w:noProof/>
            <w:webHidden/>
          </w:rPr>
          <w:fldChar w:fldCharType="end"/>
        </w:r>
      </w:hyperlink>
    </w:p>
    <w:p w14:paraId="1FF2EA88" w14:textId="204C4D9A" w:rsidR="00F6469F" w:rsidRDefault="00CF2869">
      <w:pPr>
        <w:pStyle w:val="TOC2"/>
        <w:tabs>
          <w:tab w:val="left" w:pos="880"/>
          <w:tab w:val="right" w:leader="dot" w:pos="9912"/>
        </w:tabs>
        <w:rPr>
          <w:rFonts w:asciiTheme="minorHAnsi" w:eastAsiaTheme="minorEastAsia" w:hAnsiTheme="minorHAnsi" w:cstheme="minorBidi"/>
          <w:i w:val="0"/>
          <w:iCs w:val="0"/>
          <w:noProof/>
          <w:sz w:val="22"/>
          <w:szCs w:val="22"/>
          <w:lang w:eastAsia="en-GB"/>
        </w:rPr>
      </w:pPr>
      <w:hyperlink w:anchor="_Toc46843641" w:history="1">
        <w:r w:rsidR="00F6469F" w:rsidRPr="00F47E38">
          <w:rPr>
            <w:rStyle w:val="Hyperlink"/>
            <w:noProof/>
          </w:rPr>
          <w:t>1.3</w:t>
        </w:r>
        <w:r w:rsidR="00F6469F">
          <w:rPr>
            <w:rFonts w:asciiTheme="minorHAnsi" w:eastAsiaTheme="minorEastAsia" w:hAnsiTheme="minorHAnsi" w:cstheme="minorBidi"/>
            <w:i w:val="0"/>
            <w:iCs w:val="0"/>
            <w:noProof/>
            <w:sz w:val="22"/>
            <w:szCs w:val="22"/>
            <w:lang w:eastAsia="en-GB"/>
          </w:rPr>
          <w:tab/>
        </w:r>
        <w:r w:rsidR="00F6469F" w:rsidRPr="00F47E38">
          <w:rPr>
            <w:rStyle w:val="Hyperlink"/>
            <w:noProof/>
          </w:rPr>
          <w:t>Aim of the policy</w:t>
        </w:r>
        <w:r w:rsidR="00F6469F">
          <w:rPr>
            <w:noProof/>
            <w:webHidden/>
          </w:rPr>
          <w:tab/>
        </w:r>
        <w:r w:rsidR="00F6469F">
          <w:rPr>
            <w:noProof/>
            <w:webHidden/>
          </w:rPr>
          <w:fldChar w:fldCharType="begin"/>
        </w:r>
        <w:r w:rsidR="00F6469F">
          <w:rPr>
            <w:noProof/>
            <w:webHidden/>
          </w:rPr>
          <w:instrText xml:space="preserve"> PAGEREF _Toc46843641 \h </w:instrText>
        </w:r>
        <w:r w:rsidR="00F6469F">
          <w:rPr>
            <w:noProof/>
            <w:webHidden/>
          </w:rPr>
        </w:r>
        <w:r w:rsidR="00F6469F">
          <w:rPr>
            <w:noProof/>
            <w:webHidden/>
          </w:rPr>
          <w:fldChar w:fldCharType="separate"/>
        </w:r>
        <w:r>
          <w:rPr>
            <w:noProof/>
            <w:webHidden/>
          </w:rPr>
          <w:t>6</w:t>
        </w:r>
        <w:r w:rsidR="00F6469F">
          <w:rPr>
            <w:noProof/>
            <w:webHidden/>
          </w:rPr>
          <w:fldChar w:fldCharType="end"/>
        </w:r>
      </w:hyperlink>
    </w:p>
    <w:p w14:paraId="451C39A6" w14:textId="6C088E27" w:rsidR="00F6469F" w:rsidRDefault="00CF2869">
      <w:pPr>
        <w:pStyle w:val="TOC1"/>
        <w:tabs>
          <w:tab w:val="right" w:leader="dot" w:pos="9912"/>
        </w:tabs>
        <w:rPr>
          <w:rFonts w:asciiTheme="minorHAnsi" w:eastAsiaTheme="minorEastAsia" w:hAnsiTheme="minorHAnsi" w:cstheme="minorBidi"/>
          <w:b w:val="0"/>
          <w:bCs w:val="0"/>
          <w:noProof/>
          <w:sz w:val="22"/>
          <w:szCs w:val="22"/>
          <w:lang w:eastAsia="en-GB"/>
        </w:rPr>
      </w:pPr>
      <w:hyperlink w:anchor="_Toc46843642" w:history="1">
        <w:r w:rsidR="00F6469F" w:rsidRPr="00F47E38">
          <w:rPr>
            <w:rStyle w:val="Hyperlink"/>
            <w:noProof/>
          </w:rPr>
          <w:t>2.0 Introduction – The development of non-medical prescribing</w:t>
        </w:r>
        <w:r w:rsidR="00F6469F">
          <w:rPr>
            <w:noProof/>
            <w:webHidden/>
          </w:rPr>
          <w:tab/>
        </w:r>
        <w:r w:rsidR="00F6469F">
          <w:rPr>
            <w:noProof/>
            <w:webHidden/>
          </w:rPr>
          <w:fldChar w:fldCharType="begin"/>
        </w:r>
        <w:r w:rsidR="00F6469F">
          <w:rPr>
            <w:noProof/>
            <w:webHidden/>
          </w:rPr>
          <w:instrText xml:space="preserve"> PAGEREF _Toc46843642 \h </w:instrText>
        </w:r>
        <w:r w:rsidR="00F6469F">
          <w:rPr>
            <w:noProof/>
            <w:webHidden/>
          </w:rPr>
        </w:r>
        <w:r w:rsidR="00F6469F">
          <w:rPr>
            <w:noProof/>
            <w:webHidden/>
          </w:rPr>
          <w:fldChar w:fldCharType="separate"/>
        </w:r>
        <w:r>
          <w:rPr>
            <w:noProof/>
            <w:webHidden/>
          </w:rPr>
          <w:t>7</w:t>
        </w:r>
        <w:r w:rsidR="00F6469F">
          <w:rPr>
            <w:noProof/>
            <w:webHidden/>
          </w:rPr>
          <w:fldChar w:fldCharType="end"/>
        </w:r>
      </w:hyperlink>
    </w:p>
    <w:p w14:paraId="66DC71C4" w14:textId="4F2FCB43" w:rsidR="00F6469F" w:rsidRDefault="00CF2869">
      <w:pPr>
        <w:pStyle w:val="TOC2"/>
        <w:tabs>
          <w:tab w:val="right" w:leader="dot" w:pos="9912"/>
        </w:tabs>
        <w:rPr>
          <w:rFonts w:asciiTheme="minorHAnsi" w:eastAsiaTheme="minorEastAsia" w:hAnsiTheme="minorHAnsi" w:cstheme="minorBidi"/>
          <w:i w:val="0"/>
          <w:iCs w:val="0"/>
          <w:noProof/>
          <w:sz w:val="22"/>
          <w:szCs w:val="22"/>
          <w:lang w:eastAsia="en-GB"/>
        </w:rPr>
      </w:pPr>
      <w:hyperlink w:anchor="_Toc46843643" w:history="1">
        <w:r w:rsidR="00F6469F" w:rsidRPr="00F47E38">
          <w:rPr>
            <w:rStyle w:val="Hyperlink"/>
            <w:noProof/>
          </w:rPr>
          <w:t>2.1 Types of Non-Medical Prescriber</w:t>
        </w:r>
        <w:r w:rsidR="00F6469F">
          <w:rPr>
            <w:noProof/>
            <w:webHidden/>
          </w:rPr>
          <w:tab/>
        </w:r>
        <w:r w:rsidR="00F6469F">
          <w:rPr>
            <w:noProof/>
            <w:webHidden/>
          </w:rPr>
          <w:fldChar w:fldCharType="begin"/>
        </w:r>
        <w:r w:rsidR="00F6469F">
          <w:rPr>
            <w:noProof/>
            <w:webHidden/>
          </w:rPr>
          <w:instrText xml:space="preserve"> PAGEREF _Toc46843643 \h </w:instrText>
        </w:r>
        <w:r w:rsidR="00F6469F">
          <w:rPr>
            <w:noProof/>
            <w:webHidden/>
          </w:rPr>
        </w:r>
        <w:r w:rsidR="00F6469F">
          <w:rPr>
            <w:noProof/>
            <w:webHidden/>
          </w:rPr>
          <w:fldChar w:fldCharType="separate"/>
        </w:r>
        <w:r>
          <w:rPr>
            <w:noProof/>
            <w:webHidden/>
          </w:rPr>
          <w:t>7</w:t>
        </w:r>
        <w:r w:rsidR="00F6469F">
          <w:rPr>
            <w:noProof/>
            <w:webHidden/>
          </w:rPr>
          <w:fldChar w:fldCharType="end"/>
        </w:r>
      </w:hyperlink>
    </w:p>
    <w:p w14:paraId="32054B97" w14:textId="40D32234" w:rsidR="00F6469F" w:rsidRDefault="00CF2869">
      <w:pPr>
        <w:pStyle w:val="TOC1"/>
        <w:tabs>
          <w:tab w:val="left" w:pos="660"/>
          <w:tab w:val="right" w:leader="dot" w:pos="9912"/>
        </w:tabs>
        <w:rPr>
          <w:rFonts w:asciiTheme="minorHAnsi" w:eastAsiaTheme="minorEastAsia" w:hAnsiTheme="minorHAnsi" w:cstheme="minorBidi"/>
          <w:b w:val="0"/>
          <w:bCs w:val="0"/>
          <w:noProof/>
          <w:sz w:val="22"/>
          <w:szCs w:val="22"/>
          <w:lang w:eastAsia="en-GB"/>
        </w:rPr>
      </w:pPr>
      <w:hyperlink w:anchor="_Toc46843644" w:history="1">
        <w:r w:rsidR="00F6469F" w:rsidRPr="00F47E38">
          <w:rPr>
            <w:rStyle w:val="Hyperlink"/>
            <w:noProof/>
          </w:rPr>
          <w:t>3.0</w:t>
        </w:r>
        <w:r w:rsidR="00F6469F">
          <w:rPr>
            <w:rFonts w:asciiTheme="minorHAnsi" w:eastAsiaTheme="minorEastAsia" w:hAnsiTheme="minorHAnsi" w:cstheme="minorBidi"/>
            <w:b w:val="0"/>
            <w:bCs w:val="0"/>
            <w:noProof/>
            <w:sz w:val="22"/>
            <w:szCs w:val="22"/>
            <w:lang w:eastAsia="en-GB"/>
          </w:rPr>
          <w:tab/>
        </w:r>
        <w:r w:rsidR="00F6469F" w:rsidRPr="00F47E38">
          <w:rPr>
            <w:rStyle w:val="Hyperlink"/>
            <w:noProof/>
          </w:rPr>
          <w:t>Roles and Responsibilities</w:t>
        </w:r>
        <w:r w:rsidR="00F6469F">
          <w:rPr>
            <w:noProof/>
            <w:webHidden/>
          </w:rPr>
          <w:tab/>
        </w:r>
        <w:r w:rsidR="00F6469F">
          <w:rPr>
            <w:noProof/>
            <w:webHidden/>
          </w:rPr>
          <w:fldChar w:fldCharType="begin"/>
        </w:r>
        <w:r w:rsidR="00F6469F">
          <w:rPr>
            <w:noProof/>
            <w:webHidden/>
          </w:rPr>
          <w:instrText xml:space="preserve"> PAGEREF _Toc46843644 \h </w:instrText>
        </w:r>
        <w:r w:rsidR="00F6469F">
          <w:rPr>
            <w:noProof/>
            <w:webHidden/>
          </w:rPr>
        </w:r>
        <w:r w:rsidR="00F6469F">
          <w:rPr>
            <w:noProof/>
            <w:webHidden/>
          </w:rPr>
          <w:fldChar w:fldCharType="separate"/>
        </w:r>
        <w:r>
          <w:rPr>
            <w:noProof/>
            <w:webHidden/>
          </w:rPr>
          <w:t>9</w:t>
        </w:r>
        <w:r w:rsidR="00F6469F">
          <w:rPr>
            <w:noProof/>
            <w:webHidden/>
          </w:rPr>
          <w:fldChar w:fldCharType="end"/>
        </w:r>
      </w:hyperlink>
    </w:p>
    <w:p w14:paraId="10319C1A" w14:textId="2783CABA" w:rsidR="00F6469F" w:rsidRDefault="00CF2869">
      <w:pPr>
        <w:pStyle w:val="TOC2"/>
        <w:tabs>
          <w:tab w:val="left" w:pos="880"/>
          <w:tab w:val="right" w:leader="dot" w:pos="9912"/>
        </w:tabs>
        <w:rPr>
          <w:rFonts w:asciiTheme="minorHAnsi" w:eastAsiaTheme="minorEastAsia" w:hAnsiTheme="minorHAnsi" w:cstheme="minorBidi"/>
          <w:i w:val="0"/>
          <w:iCs w:val="0"/>
          <w:noProof/>
          <w:sz w:val="22"/>
          <w:szCs w:val="22"/>
          <w:lang w:eastAsia="en-GB"/>
        </w:rPr>
      </w:pPr>
      <w:hyperlink w:anchor="_Toc46843645" w:history="1">
        <w:r w:rsidR="00F6469F" w:rsidRPr="00F47E38">
          <w:rPr>
            <w:rStyle w:val="Hyperlink"/>
            <w:noProof/>
          </w:rPr>
          <w:t>3.1.</w:t>
        </w:r>
        <w:r w:rsidR="00F6469F">
          <w:rPr>
            <w:rFonts w:asciiTheme="minorHAnsi" w:eastAsiaTheme="minorEastAsia" w:hAnsiTheme="minorHAnsi" w:cstheme="minorBidi"/>
            <w:i w:val="0"/>
            <w:iCs w:val="0"/>
            <w:noProof/>
            <w:sz w:val="22"/>
            <w:szCs w:val="22"/>
            <w:lang w:eastAsia="en-GB"/>
          </w:rPr>
          <w:tab/>
        </w:r>
        <w:r w:rsidR="00F6469F" w:rsidRPr="00F47E38">
          <w:rPr>
            <w:rStyle w:val="Hyperlink"/>
            <w:noProof/>
          </w:rPr>
          <w:t>Employer responsibilities</w:t>
        </w:r>
        <w:r w:rsidR="00F6469F">
          <w:rPr>
            <w:noProof/>
            <w:webHidden/>
          </w:rPr>
          <w:tab/>
        </w:r>
        <w:r w:rsidR="00F6469F">
          <w:rPr>
            <w:noProof/>
            <w:webHidden/>
          </w:rPr>
          <w:fldChar w:fldCharType="begin"/>
        </w:r>
        <w:r w:rsidR="00F6469F">
          <w:rPr>
            <w:noProof/>
            <w:webHidden/>
          </w:rPr>
          <w:instrText xml:space="preserve"> PAGEREF _Toc46843645 \h </w:instrText>
        </w:r>
        <w:r w:rsidR="00F6469F">
          <w:rPr>
            <w:noProof/>
            <w:webHidden/>
          </w:rPr>
        </w:r>
        <w:r w:rsidR="00F6469F">
          <w:rPr>
            <w:noProof/>
            <w:webHidden/>
          </w:rPr>
          <w:fldChar w:fldCharType="separate"/>
        </w:r>
        <w:r>
          <w:rPr>
            <w:noProof/>
            <w:webHidden/>
          </w:rPr>
          <w:t>9</w:t>
        </w:r>
        <w:r w:rsidR="00F6469F">
          <w:rPr>
            <w:noProof/>
            <w:webHidden/>
          </w:rPr>
          <w:fldChar w:fldCharType="end"/>
        </w:r>
      </w:hyperlink>
    </w:p>
    <w:p w14:paraId="5A3E466B" w14:textId="08FA0ADC" w:rsidR="00F6469F" w:rsidRDefault="00CF2869">
      <w:pPr>
        <w:pStyle w:val="TOC2"/>
        <w:tabs>
          <w:tab w:val="left" w:pos="880"/>
          <w:tab w:val="right" w:leader="dot" w:pos="9912"/>
        </w:tabs>
        <w:rPr>
          <w:rFonts w:asciiTheme="minorHAnsi" w:eastAsiaTheme="minorEastAsia" w:hAnsiTheme="minorHAnsi" w:cstheme="minorBidi"/>
          <w:i w:val="0"/>
          <w:iCs w:val="0"/>
          <w:noProof/>
          <w:sz w:val="22"/>
          <w:szCs w:val="22"/>
          <w:lang w:eastAsia="en-GB"/>
        </w:rPr>
      </w:pPr>
      <w:hyperlink w:anchor="_Toc46843646" w:history="1">
        <w:r w:rsidR="00F6469F" w:rsidRPr="00F47E38">
          <w:rPr>
            <w:rStyle w:val="Hyperlink"/>
            <w:noProof/>
          </w:rPr>
          <w:t>3.2</w:t>
        </w:r>
        <w:r w:rsidR="00F6469F">
          <w:rPr>
            <w:rFonts w:asciiTheme="minorHAnsi" w:eastAsiaTheme="minorEastAsia" w:hAnsiTheme="minorHAnsi" w:cstheme="minorBidi"/>
            <w:i w:val="0"/>
            <w:iCs w:val="0"/>
            <w:noProof/>
            <w:sz w:val="22"/>
            <w:szCs w:val="22"/>
            <w:lang w:eastAsia="en-GB"/>
          </w:rPr>
          <w:tab/>
        </w:r>
        <w:r w:rsidR="00F6469F" w:rsidRPr="00F47E38">
          <w:rPr>
            <w:rStyle w:val="Hyperlink"/>
            <w:noProof/>
          </w:rPr>
          <w:t>Non-medical prescriber responsibilities</w:t>
        </w:r>
        <w:r w:rsidR="00F6469F">
          <w:rPr>
            <w:noProof/>
            <w:webHidden/>
          </w:rPr>
          <w:tab/>
        </w:r>
        <w:r w:rsidR="00F6469F">
          <w:rPr>
            <w:noProof/>
            <w:webHidden/>
          </w:rPr>
          <w:fldChar w:fldCharType="begin"/>
        </w:r>
        <w:r w:rsidR="00F6469F">
          <w:rPr>
            <w:noProof/>
            <w:webHidden/>
          </w:rPr>
          <w:instrText xml:space="preserve"> PAGEREF _Toc46843646 \h </w:instrText>
        </w:r>
        <w:r w:rsidR="00F6469F">
          <w:rPr>
            <w:noProof/>
            <w:webHidden/>
          </w:rPr>
        </w:r>
        <w:r w:rsidR="00F6469F">
          <w:rPr>
            <w:noProof/>
            <w:webHidden/>
          </w:rPr>
          <w:fldChar w:fldCharType="separate"/>
        </w:r>
        <w:r>
          <w:rPr>
            <w:noProof/>
            <w:webHidden/>
          </w:rPr>
          <w:t>10</w:t>
        </w:r>
        <w:r w:rsidR="00F6469F">
          <w:rPr>
            <w:noProof/>
            <w:webHidden/>
          </w:rPr>
          <w:fldChar w:fldCharType="end"/>
        </w:r>
      </w:hyperlink>
    </w:p>
    <w:p w14:paraId="222060D2" w14:textId="5F1C4477" w:rsidR="00F6469F" w:rsidRDefault="00CF2869">
      <w:pPr>
        <w:pStyle w:val="TOC2"/>
        <w:tabs>
          <w:tab w:val="right" w:leader="dot" w:pos="9912"/>
        </w:tabs>
        <w:rPr>
          <w:rFonts w:asciiTheme="minorHAnsi" w:eastAsiaTheme="minorEastAsia" w:hAnsiTheme="minorHAnsi" w:cstheme="minorBidi"/>
          <w:i w:val="0"/>
          <w:iCs w:val="0"/>
          <w:noProof/>
          <w:sz w:val="22"/>
          <w:szCs w:val="22"/>
          <w:lang w:eastAsia="en-GB"/>
        </w:rPr>
      </w:pPr>
      <w:hyperlink w:anchor="_Toc46843647" w:history="1">
        <w:r w:rsidR="00F6469F" w:rsidRPr="00F47E38">
          <w:rPr>
            <w:rStyle w:val="Hyperlink"/>
            <w:noProof/>
          </w:rPr>
          <w:t>3.3 Medicines Optimisation Team (MOT) responsibilities</w:t>
        </w:r>
        <w:r w:rsidR="00F6469F">
          <w:rPr>
            <w:noProof/>
            <w:webHidden/>
          </w:rPr>
          <w:tab/>
        </w:r>
        <w:r w:rsidR="00F6469F">
          <w:rPr>
            <w:noProof/>
            <w:webHidden/>
          </w:rPr>
          <w:fldChar w:fldCharType="begin"/>
        </w:r>
        <w:r w:rsidR="00F6469F">
          <w:rPr>
            <w:noProof/>
            <w:webHidden/>
          </w:rPr>
          <w:instrText xml:space="preserve"> PAGEREF _Toc46843647 \h </w:instrText>
        </w:r>
        <w:r w:rsidR="00F6469F">
          <w:rPr>
            <w:noProof/>
            <w:webHidden/>
          </w:rPr>
        </w:r>
        <w:r w:rsidR="00F6469F">
          <w:rPr>
            <w:noProof/>
            <w:webHidden/>
          </w:rPr>
          <w:fldChar w:fldCharType="separate"/>
        </w:r>
        <w:r>
          <w:rPr>
            <w:noProof/>
            <w:webHidden/>
          </w:rPr>
          <w:t>11</w:t>
        </w:r>
        <w:r w:rsidR="00F6469F">
          <w:rPr>
            <w:noProof/>
            <w:webHidden/>
          </w:rPr>
          <w:fldChar w:fldCharType="end"/>
        </w:r>
      </w:hyperlink>
    </w:p>
    <w:p w14:paraId="4F2F2BFC" w14:textId="4C606685" w:rsidR="00F6469F" w:rsidRDefault="00CF2869">
      <w:pPr>
        <w:pStyle w:val="TOC2"/>
        <w:tabs>
          <w:tab w:val="left" w:pos="880"/>
          <w:tab w:val="right" w:leader="dot" w:pos="9912"/>
        </w:tabs>
        <w:rPr>
          <w:rFonts w:asciiTheme="minorHAnsi" w:eastAsiaTheme="minorEastAsia" w:hAnsiTheme="minorHAnsi" w:cstheme="minorBidi"/>
          <w:i w:val="0"/>
          <w:iCs w:val="0"/>
          <w:noProof/>
          <w:sz w:val="22"/>
          <w:szCs w:val="22"/>
          <w:lang w:eastAsia="en-GB"/>
        </w:rPr>
      </w:pPr>
      <w:hyperlink w:anchor="_Toc46843648" w:history="1">
        <w:r w:rsidR="00F6469F" w:rsidRPr="00F47E38">
          <w:rPr>
            <w:rStyle w:val="Hyperlink"/>
            <w:noProof/>
          </w:rPr>
          <w:t>3.4</w:t>
        </w:r>
        <w:r w:rsidR="00F6469F">
          <w:rPr>
            <w:rFonts w:asciiTheme="minorHAnsi" w:eastAsiaTheme="minorEastAsia" w:hAnsiTheme="minorHAnsi" w:cstheme="minorBidi"/>
            <w:i w:val="0"/>
            <w:iCs w:val="0"/>
            <w:noProof/>
            <w:sz w:val="22"/>
            <w:szCs w:val="22"/>
            <w:lang w:eastAsia="en-GB"/>
          </w:rPr>
          <w:tab/>
        </w:r>
        <w:r w:rsidR="00F6469F" w:rsidRPr="00F47E38">
          <w:rPr>
            <w:rStyle w:val="Hyperlink"/>
            <w:noProof/>
          </w:rPr>
          <w:t>Competencies</w:t>
        </w:r>
        <w:r w:rsidR="00F6469F">
          <w:rPr>
            <w:noProof/>
            <w:webHidden/>
          </w:rPr>
          <w:tab/>
        </w:r>
        <w:r w:rsidR="00F6469F">
          <w:rPr>
            <w:noProof/>
            <w:webHidden/>
          </w:rPr>
          <w:fldChar w:fldCharType="begin"/>
        </w:r>
        <w:r w:rsidR="00F6469F">
          <w:rPr>
            <w:noProof/>
            <w:webHidden/>
          </w:rPr>
          <w:instrText xml:space="preserve"> PAGEREF _Toc46843648 \h </w:instrText>
        </w:r>
        <w:r w:rsidR="00F6469F">
          <w:rPr>
            <w:noProof/>
            <w:webHidden/>
          </w:rPr>
        </w:r>
        <w:r w:rsidR="00F6469F">
          <w:rPr>
            <w:noProof/>
            <w:webHidden/>
          </w:rPr>
          <w:fldChar w:fldCharType="separate"/>
        </w:r>
        <w:r>
          <w:rPr>
            <w:noProof/>
            <w:webHidden/>
          </w:rPr>
          <w:t>11</w:t>
        </w:r>
        <w:r w:rsidR="00F6469F">
          <w:rPr>
            <w:noProof/>
            <w:webHidden/>
          </w:rPr>
          <w:fldChar w:fldCharType="end"/>
        </w:r>
      </w:hyperlink>
    </w:p>
    <w:p w14:paraId="5FB73843" w14:textId="0F845B66" w:rsidR="00F6469F" w:rsidRDefault="00CF2869">
      <w:pPr>
        <w:pStyle w:val="TOC2"/>
        <w:tabs>
          <w:tab w:val="right" w:leader="dot" w:pos="9912"/>
        </w:tabs>
        <w:rPr>
          <w:rFonts w:asciiTheme="minorHAnsi" w:eastAsiaTheme="minorEastAsia" w:hAnsiTheme="minorHAnsi" w:cstheme="minorBidi"/>
          <w:i w:val="0"/>
          <w:iCs w:val="0"/>
          <w:noProof/>
          <w:sz w:val="22"/>
          <w:szCs w:val="22"/>
          <w:lang w:eastAsia="en-GB"/>
        </w:rPr>
      </w:pPr>
      <w:hyperlink w:anchor="_Toc46843649" w:history="1">
        <w:r w:rsidR="00F6469F" w:rsidRPr="00F47E38">
          <w:rPr>
            <w:rStyle w:val="Hyperlink"/>
            <w:noProof/>
          </w:rPr>
          <w:t>3.5. Designated Prescribing Practitioner (DPP)</w:t>
        </w:r>
        <w:r w:rsidR="00F6469F">
          <w:rPr>
            <w:noProof/>
            <w:webHidden/>
          </w:rPr>
          <w:tab/>
        </w:r>
        <w:r w:rsidR="00F6469F">
          <w:rPr>
            <w:noProof/>
            <w:webHidden/>
          </w:rPr>
          <w:fldChar w:fldCharType="begin"/>
        </w:r>
        <w:r w:rsidR="00F6469F">
          <w:rPr>
            <w:noProof/>
            <w:webHidden/>
          </w:rPr>
          <w:instrText xml:space="preserve"> PAGEREF _Toc46843649 \h </w:instrText>
        </w:r>
        <w:r w:rsidR="00F6469F">
          <w:rPr>
            <w:noProof/>
            <w:webHidden/>
          </w:rPr>
        </w:r>
        <w:r w:rsidR="00F6469F">
          <w:rPr>
            <w:noProof/>
            <w:webHidden/>
          </w:rPr>
          <w:fldChar w:fldCharType="separate"/>
        </w:r>
        <w:r>
          <w:rPr>
            <w:noProof/>
            <w:webHidden/>
          </w:rPr>
          <w:t>12</w:t>
        </w:r>
        <w:r w:rsidR="00F6469F">
          <w:rPr>
            <w:noProof/>
            <w:webHidden/>
          </w:rPr>
          <w:fldChar w:fldCharType="end"/>
        </w:r>
      </w:hyperlink>
    </w:p>
    <w:p w14:paraId="12F65AC1" w14:textId="667DB5B2" w:rsidR="00F6469F" w:rsidRDefault="00CF2869">
      <w:pPr>
        <w:pStyle w:val="TOC1"/>
        <w:tabs>
          <w:tab w:val="right" w:leader="dot" w:pos="9912"/>
        </w:tabs>
        <w:rPr>
          <w:rFonts w:asciiTheme="minorHAnsi" w:eastAsiaTheme="minorEastAsia" w:hAnsiTheme="minorHAnsi" w:cstheme="minorBidi"/>
          <w:b w:val="0"/>
          <w:bCs w:val="0"/>
          <w:noProof/>
          <w:sz w:val="22"/>
          <w:szCs w:val="22"/>
          <w:lang w:eastAsia="en-GB"/>
        </w:rPr>
      </w:pPr>
      <w:hyperlink w:anchor="_Toc46843650" w:history="1">
        <w:r w:rsidR="00F6469F" w:rsidRPr="00F47E38">
          <w:rPr>
            <w:rStyle w:val="Hyperlink"/>
            <w:noProof/>
          </w:rPr>
          <w:t>4.0 Professional Accountability</w:t>
        </w:r>
        <w:r w:rsidR="00F6469F">
          <w:rPr>
            <w:noProof/>
            <w:webHidden/>
          </w:rPr>
          <w:tab/>
        </w:r>
        <w:r w:rsidR="00F6469F">
          <w:rPr>
            <w:noProof/>
            <w:webHidden/>
          </w:rPr>
          <w:fldChar w:fldCharType="begin"/>
        </w:r>
        <w:r w:rsidR="00F6469F">
          <w:rPr>
            <w:noProof/>
            <w:webHidden/>
          </w:rPr>
          <w:instrText xml:space="preserve"> PAGEREF _Toc46843650 \h </w:instrText>
        </w:r>
        <w:r w:rsidR="00F6469F">
          <w:rPr>
            <w:noProof/>
            <w:webHidden/>
          </w:rPr>
        </w:r>
        <w:r w:rsidR="00F6469F">
          <w:rPr>
            <w:noProof/>
            <w:webHidden/>
          </w:rPr>
          <w:fldChar w:fldCharType="separate"/>
        </w:r>
        <w:r>
          <w:rPr>
            <w:noProof/>
            <w:webHidden/>
          </w:rPr>
          <w:t>12</w:t>
        </w:r>
        <w:r w:rsidR="00F6469F">
          <w:rPr>
            <w:noProof/>
            <w:webHidden/>
          </w:rPr>
          <w:fldChar w:fldCharType="end"/>
        </w:r>
      </w:hyperlink>
    </w:p>
    <w:p w14:paraId="10044D9F" w14:textId="2E6DEF95" w:rsidR="00F6469F" w:rsidRDefault="00CF2869">
      <w:pPr>
        <w:pStyle w:val="TOC1"/>
        <w:tabs>
          <w:tab w:val="right" w:leader="dot" w:pos="9912"/>
        </w:tabs>
        <w:rPr>
          <w:rFonts w:asciiTheme="minorHAnsi" w:eastAsiaTheme="minorEastAsia" w:hAnsiTheme="minorHAnsi" w:cstheme="minorBidi"/>
          <w:b w:val="0"/>
          <w:bCs w:val="0"/>
          <w:noProof/>
          <w:sz w:val="22"/>
          <w:szCs w:val="22"/>
          <w:lang w:eastAsia="en-GB"/>
        </w:rPr>
      </w:pPr>
      <w:hyperlink w:anchor="_Toc46843651" w:history="1">
        <w:r w:rsidR="00F6469F" w:rsidRPr="00F47E38">
          <w:rPr>
            <w:rStyle w:val="Hyperlink"/>
            <w:noProof/>
          </w:rPr>
          <w:t>5.0 Clinical Governance in Prescribing</w:t>
        </w:r>
        <w:r w:rsidR="00F6469F">
          <w:rPr>
            <w:noProof/>
            <w:webHidden/>
          </w:rPr>
          <w:tab/>
        </w:r>
        <w:r w:rsidR="00F6469F">
          <w:rPr>
            <w:noProof/>
            <w:webHidden/>
          </w:rPr>
          <w:fldChar w:fldCharType="begin"/>
        </w:r>
        <w:r w:rsidR="00F6469F">
          <w:rPr>
            <w:noProof/>
            <w:webHidden/>
          </w:rPr>
          <w:instrText xml:space="preserve"> PAGEREF _Toc46843651 \h </w:instrText>
        </w:r>
        <w:r w:rsidR="00F6469F">
          <w:rPr>
            <w:noProof/>
            <w:webHidden/>
          </w:rPr>
        </w:r>
        <w:r w:rsidR="00F6469F">
          <w:rPr>
            <w:noProof/>
            <w:webHidden/>
          </w:rPr>
          <w:fldChar w:fldCharType="separate"/>
        </w:r>
        <w:r>
          <w:rPr>
            <w:noProof/>
            <w:webHidden/>
          </w:rPr>
          <w:t>13</w:t>
        </w:r>
        <w:r w:rsidR="00F6469F">
          <w:rPr>
            <w:noProof/>
            <w:webHidden/>
          </w:rPr>
          <w:fldChar w:fldCharType="end"/>
        </w:r>
      </w:hyperlink>
    </w:p>
    <w:p w14:paraId="10228663" w14:textId="19D63088" w:rsidR="00F6469F" w:rsidRDefault="00CF2869">
      <w:pPr>
        <w:pStyle w:val="TOC1"/>
        <w:tabs>
          <w:tab w:val="right" w:leader="dot" w:pos="9912"/>
        </w:tabs>
        <w:rPr>
          <w:rFonts w:asciiTheme="minorHAnsi" w:eastAsiaTheme="minorEastAsia" w:hAnsiTheme="minorHAnsi" w:cstheme="minorBidi"/>
          <w:b w:val="0"/>
          <w:bCs w:val="0"/>
          <w:noProof/>
          <w:sz w:val="22"/>
          <w:szCs w:val="22"/>
          <w:lang w:eastAsia="en-GB"/>
        </w:rPr>
      </w:pPr>
      <w:hyperlink w:anchor="_Toc46843652" w:history="1">
        <w:r w:rsidR="00F6469F" w:rsidRPr="00F47E38">
          <w:rPr>
            <w:rStyle w:val="Hyperlink"/>
            <w:noProof/>
          </w:rPr>
          <w:t>6.0 Training</w:t>
        </w:r>
        <w:r w:rsidR="00F6469F">
          <w:rPr>
            <w:noProof/>
            <w:webHidden/>
          </w:rPr>
          <w:tab/>
        </w:r>
        <w:r w:rsidR="00F6469F">
          <w:rPr>
            <w:noProof/>
            <w:webHidden/>
          </w:rPr>
          <w:fldChar w:fldCharType="begin"/>
        </w:r>
        <w:r w:rsidR="00F6469F">
          <w:rPr>
            <w:noProof/>
            <w:webHidden/>
          </w:rPr>
          <w:instrText xml:space="preserve"> PAGEREF _Toc46843652 \h </w:instrText>
        </w:r>
        <w:r w:rsidR="00F6469F">
          <w:rPr>
            <w:noProof/>
            <w:webHidden/>
          </w:rPr>
        </w:r>
        <w:r w:rsidR="00F6469F">
          <w:rPr>
            <w:noProof/>
            <w:webHidden/>
          </w:rPr>
          <w:fldChar w:fldCharType="separate"/>
        </w:r>
        <w:r>
          <w:rPr>
            <w:noProof/>
            <w:webHidden/>
          </w:rPr>
          <w:t>13</w:t>
        </w:r>
        <w:r w:rsidR="00F6469F">
          <w:rPr>
            <w:noProof/>
            <w:webHidden/>
          </w:rPr>
          <w:fldChar w:fldCharType="end"/>
        </w:r>
      </w:hyperlink>
    </w:p>
    <w:p w14:paraId="178A2B3B" w14:textId="1E782DB8" w:rsidR="00F6469F" w:rsidRDefault="00CF2869">
      <w:pPr>
        <w:pStyle w:val="TOC1"/>
        <w:tabs>
          <w:tab w:val="right" w:leader="dot" w:pos="9912"/>
        </w:tabs>
        <w:rPr>
          <w:rFonts w:asciiTheme="minorHAnsi" w:eastAsiaTheme="minorEastAsia" w:hAnsiTheme="minorHAnsi" w:cstheme="minorBidi"/>
          <w:b w:val="0"/>
          <w:bCs w:val="0"/>
          <w:noProof/>
          <w:sz w:val="22"/>
          <w:szCs w:val="22"/>
          <w:lang w:eastAsia="en-GB"/>
        </w:rPr>
      </w:pPr>
      <w:hyperlink w:anchor="_Toc46843653" w:history="1">
        <w:r w:rsidR="00F6469F" w:rsidRPr="00F47E38">
          <w:rPr>
            <w:rStyle w:val="Hyperlink"/>
            <w:noProof/>
          </w:rPr>
          <w:t>7.0 Process for registering an NMP</w:t>
        </w:r>
        <w:r w:rsidR="00F6469F">
          <w:rPr>
            <w:noProof/>
            <w:webHidden/>
          </w:rPr>
          <w:tab/>
        </w:r>
        <w:r w:rsidR="00F6469F">
          <w:rPr>
            <w:noProof/>
            <w:webHidden/>
          </w:rPr>
          <w:fldChar w:fldCharType="begin"/>
        </w:r>
        <w:r w:rsidR="00F6469F">
          <w:rPr>
            <w:noProof/>
            <w:webHidden/>
          </w:rPr>
          <w:instrText xml:space="preserve"> PAGEREF _Toc46843653 \h </w:instrText>
        </w:r>
        <w:r w:rsidR="00F6469F">
          <w:rPr>
            <w:noProof/>
            <w:webHidden/>
          </w:rPr>
        </w:r>
        <w:r w:rsidR="00F6469F">
          <w:rPr>
            <w:noProof/>
            <w:webHidden/>
          </w:rPr>
          <w:fldChar w:fldCharType="separate"/>
        </w:r>
        <w:r>
          <w:rPr>
            <w:noProof/>
            <w:webHidden/>
          </w:rPr>
          <w:t>14</w:t>
        </w:r>
        <w:r w:rsidR="00F6469F">
          <w:rPr>
            <w:noProof/>
            <w:webHidden/>
          </w:rPr>
          <w:fldChar w:fldCharType="end"/>
        </w:r>
      </w:hyperlink>
    </w:p>
    <w:p w14:paraId="2AA930CE" w14:textId="2C3158C6" w:rsidR="00F6469F" w:rsidRDefault="00CF2869">
      <w:pPr>
        <w:pStyle w:val="TOC1"/>
        <w:tabs>
          <w:tab w:val="right" w:leader="dot" w:pos="9912"/>
        </w:tabs>
        <w:rPr>
          <w:rFonts w:asciiTheme="minorHAnsi" w:eastAsiaTheme="minorEastAsia" w:hAnsiTheme="minorHAnsi" w:cstheme="minorBidi"/>
          <w:b w:val="0"/>
          <w:bCs w:val="0"/>
          <w:noProof/>
          <w:sz w:val="22"/>
          <w:szCs w:val="22"/>
          <w:lang w:eastAsia="en-GB"/>
        </w:rPr>
      </w:pPr>
      <w:hyperlink w:anchor="_Toc46843654" w:history="1">
        <w:r w:rsidR="00F6469F" w:rsidRPr="00F47E38">
          <w:rPr>
            <w:rStyle w:val="Hyperlink"/>
            <w:noProof/>
          </w:rPr>
          <w:t>8.0 Care in Prescribing</w:t>
        </w:r>
        <w:r w:rsidR="00F6469F">
          <w:rPr>
            <w:noProof/>
            <w:webHidden/>
          </w:rPr>
          <w:tab/>
        </w:r>
        <w:r w:rsidR="00F6469F">
          <w:rPr>
            <w:noProof/>
            <w:webHidden/>
          </w:rPr>
          <w:fldChar w:fldCharType="begin"/>
        </w:r>
        <w:r w:rsidR="00F6469F">
          <w:rPr>
            <w:noProof/>
            <w:webHidden/>
          </w:rPr>
          <w:instrText xml:space="preserve"> PAGEREF _Toc46843654 \h </w:instrText>
        </w:r>
        <w:r w:rsidR="00F6469F">
          <w:rPr>
            <w:noProof/>
            <w:webHidden/>
          </w:rPr>
        </w:r>
        <w:r w:rsidR="00F6469F">
          <w:rPr>
            <w:noProof/>
            <w:webHidden/>
          </w:rPr>
          <w:fldChar w:fldCharType="separate"/>
        </w:r>
        <w:r>
          <w:rPr>
            <w:noProof/>
            <w:webHidden/>
          </w:rPr>
          <w:t>14</w:t>
        </w:r>
        <w:r w:rsidR="00F6469F">
          <w:rPr>
            <w:noProof/>
            <w:webHidden/>
          </w:rPr>
          <w:fldChar w:fldCharType="end"/>
        </w:r>
      </w:hyperlink>
    </w:p>
    <w:p w14:paraId="37C2156B" w14:textId="0DD23120" w:rsidR="00F6469F" w:rsidRDefault="00CF2869">
      <w:pPr>
        <w:pStyle w:val="TOC2"/>
        <w:tabs>
          <w:tab w:val="right" w:leader="dot" w:pos="9912"/>
        </w:tabs>
        <w:rPr>
          <w:rFonts w:asciiTheme="minorHAnsi" w:eastAsiaTheme="minorEastAsia" w:hAnsiTheme="minorHAnsi" w:cstheme="minorBidi"/>
          <w:i w:val="0"/>
          <w:iCs w:val="0"/>
          <w:noProof/>
          <w:sz w:val="22"/>
          <w:szCs w:val="22"/>
          <w:lang w:eastAsia="en-GB"/>
        </w:rPr>
      </w:pPr>
      <w:hyperlink w:anchor="_Toc46843655" w:history="1">
        <w:r w:rsidR="00F6469F" w:rsidRPr="00F47E38">
          <w:rPr>
            <w:rStyle w:val="Hyperlink"/>
            <w:noProof/>
          </w:rPr>
          <w:t>8.1 Patient Assessment</w:t>
        </w:r>
        <w:r w:rsidR="00F6469F">
          <w:rPr>
            <w:noProof/>
            <w:webHidden/>
          </w:rPr>
          <w:tab/>
        </w:r>
        <w:r w:rsidR="00F6469F">
          <w:rPr>
            <w:noProof/>
            <w:webHidden/>
          </w:rPr>
          <w:fldChar w:fldCharType="begin"/>
        </w:r>
        <w:r w:rsidR="00F6469F">
          <w:rPr>
            <w:noProof/>
            <w:webHidden/>
          </w:rPr>
          <w:instrText xml:space="preserve"> PAGEREF _Toc46843655 \h </w:instrText>
        </w:r>
        <w:r w:rsidR="00F6469F">
          <w:rPr>
            <w:noProof/>
            <w:webHidden/>
          </w:rPr>
        </w:r>
        <w:r w:rsidR="00F6469F">
          <w:rPr>
            <w:noProof/>
            <w:webHidden/>
          </w:rPr>
          <w:fldChar w:fldCharType="separate"/>
        </w:r>
        <w:r>
          <w:rPr>
            <w:noProof/>
            <w:webHidden/>
          </w:rPr>
          <w:t>14</w:t>
        </w:r>
        <w:r w:rsidR="00F6469F">
          <w:rPr>
            <w:noProof/>
            <w:webHidden/>
          </w:rPr>
          <w:fldChar w:fldCharType="end"/>
        </w:r>
      </w:hyperlink>
    </w:p>
    <w:p w14:paraId="2BBC87C2" w14:textId="23E52BCE" w:rsidR="00F6469F" w:rsidRDefault="00CF2869">
      <w:pPr>
        <w:pStyle w:val="TOC2"/>
        <w:tabs>
          <w:tab w:val="right" w:leader="dot" w:pos="9912"/>
        </w:tabs>
        <w:rPr>
          <w:rFonts w:asciiTheme="minorHAnsi" w:eastAsiaTheme="minorEastAsia" w:hAnsiTheme="minorHAnsi" w:cstheme="minorBidi"/>
          <w:i w:val="0"/>
          <w:iCs w:val="0"/>
          <w:noProof/>
          <w:sz w:val="22"/>
          <w:szCs w:val="22"/>
          <w:lang w:eastAsia="en-GB"/>
        </w:rPr>
      </w:pPr>
      <w:hyperlink w:anchor="_Toc46843656" w:history="1">
        <w:r w:rsidR="00F6469F" w:rsidRPr="00F47E38">
          <w:rPr>
            <w:rStyle w:val="Hyperlink"/>
            <w:noProof/>
          </w:rPr>
          <w:t>8.2 Writing and Issuing Prescriptions</w:t>
        </w:r>
        <w:r w:rsidR="00F6469F">
          <w:rPr>
            <w:noProof/>
            <w:webHidden/>
          </w:rPr>
          <w:tab/>
        </w:r>
        <w:r w:rsidR="00F6469F">
          <w:rPr>
            <w:noProof/>
            <w:webHidden/>
          </w:rPr>
          <w:fldChar w:fldCharType="begin"/>
        </w:r>
        <w:r w:rsidR="00F6469F">
          <w:rPr>
            <w:noProof/>
            <w:webHidden/>
          </w:rPr>
          <w:instrText xml:space="preserve"> PAGEREF _Toc46843656 \h </w:instrText>
        </w:r>
        <w:r w:rsidR="00F6469F">
          <w:rPr>
            <w:noProof/>
            <w:webHidden/>
          </w:rPr>
        </w:r>
        <w:r w:rsidR="00F6469F">
          <w:rPr>
            <w:noProof/>
            <w:webHidden/>
          </w:rPr>
          <w:fldChar w:fldCharType="separate"/>
        </w:r>
        <w:r>
          <w:rPr>
            <w:noProof/>
            <w:webHidden/>
          </w:rPr>
          <w:t>15</w:t>
        </w:r>
        <w:r w:rsidR="00F6469F">
          <w:rPr>
            <w:noProof/>
            <w:webHidden/>
          </w:rPr>
          <w:fldChar w:fldCharType="end"/>
        </w:r>
      </w:hyperlink>
    </w:p>
    <w:p w14:paraId="7AB0E7CD" w14:textId="682F45BF" w:rsidR="00F6469F" w:rsidRDefault="00CF2869">
      <w:pPr>
        <w:pStyle w:val="TOC2"/>
        <w:tabs>
          <w:tab w:val="right" w:leader="dot" w:pos="9912"/>
        </w:tabs>
        <w:rPr>
          <w:rFonts w:asciiTheme="minorHAnsi" w:eastAsiaTheme="minorEastAsia" w:hAnsiTheme="minorHAnsi" w:cstheme="minorBidi"/>
          <w:i w:val="0"/>
          <w:iCs w:val="0"/>
          <w:noProof/>
          <w:sz w:val="22"/>
          <w:szCs w:val="22"/>
          <w:lang w:eastAsia="en-GB"/>
        </w:rPr>
      </w:pPr>
      <w:hyperlink w:anchor="_Toc46843657" w:history="1">
        <w:r w:rsidR="00F6469F" w:rsidRPr="00F47E38">
          <w:rPr>
            <w:rStyle w:val="Hyperlink"/>
            <w:noProof/>
          </w:rPr>
          <w:t>8.3 Generic Prescribing</w:t>
        </w:r>
        <w:r w:rsidR="00F6469F">
          <w:rPr>
            <w:noProof/>
            <w:webHidden/>
          </w:rPr>
          <w:tab/>
        </w:r>
        <w:r w:rsidR="00F6469F">
          <w:rPr>
            <w:noProof/>
            <w:webHidden/>
          </w:rPr>
          <w:fldChar w:fldCharType="begin"/>
        </w:r>
        <w:r w:rsidR="00F6469F">
          <w:rPr>
            <w:noProof/>
            <w:webHidden/>
          </w:rPr>
          <w:instrText xml:space="preserve"> PAGEREF _Toc46843657 \h </w:instrText>
        </w:r>
        <w:r w:rsidR="00F6469F">
          <w:rPr>
            <w:noProof/>
            <w:webHidden/>
          </w:rPr>
        </w:r>
        <w:r w:rsidR="00F6469F">
          <w:rPr>
            <w:noProof/>
            <w:webHidden/>
          </w:rPr>
          <w:fldChar w:fldCharType="separate"/>
        </w:r>
        <w:r>
          <w:rPr>
            <w:noProof/>
            <w:webHidden/>
          </w:rPr>
          <w:t>15</w:t>
        </w:r>
        <w:r w:rsidR="00F6469F">
          <w:rPr>
            <w:noProof/>
            <w:webHidden/>
          </w:rPr>
          <w:fldChar w:fldCharType="end"/>
        </w:r>
      </w:hyperlink>
    </w:p>
    <w:p w14:paraId="6FB9AADE" w14:textId="5357F4A2" w:rsidR="00F6469F" w:rsidRDefault="00CF2869">
      <w:pPr>
        <w:pStyle w:val="TOC3"/>
        <w:tabs>
          <w:tab w:val="right" w:leader="dot" w:pos="9912"/>
        </w:tabs>
        <w:rPr>
          <w:rFonts w:asciiTheme="minorHAnsi" w:eastAsiaTheme="minorEastAsia" w:hAnsiTheme="minorHAnsi" w:cstheme="minorBidi"/>
          <w:noProof/>
          <w:sz w:val="22"/>
          <w:szCs w:val="22"/>
          <w:lang w:eastAsia="en-GB"/>
        </w:rPr>
      </w:pPr>
      <w:hyperlink w:anchor="_Toc46843658" w:history="1">
        <w:r w:rsidR="00F6469F" w:rsidRPr="00F47E38">
          <w:rPr>
            <w:rStyle w:val="Hyperlink"/>
            <w:noProof/>
          </w:rPr>
          <w:t>8.3.1 Anti-epileptic Drugs (AED)</w:t>
        </w:r>
        <w:r w:rsidR="00F6469F">
          <w:rPr>
            <w:noProof/>
            <w:webHidden/>
          </w:rPr>
          <w:tab/>
        </w:r>
        <w:r w:rsidR="00F6469F">
          <w:rPr>
            <w:noProof/>
            <w:webHidden/>
          </w:rPr>
          <w:fldChar w:fldCharType="begin"/>
        </w:r>
        <w:r w:rsidR="00F6469F">
          <w:rPr>
            <w:noProof/>
            <w:webHidden/>
          </w:rPr>
          <w:instrText xml:space="preserve"> PAGEREF _Toc46843658 \h </w:instrText>
        </w:r>
        <w:r w:rsidR="00F6469F">
          <w:rPr>
            <w:noProof/>
            <w:webHidden/>
          </w:rPr>
        </w:r>
        <w:r w:rsidR="00F6469F">
          <w:rPr>
            <w:noProof/>
            <w:webHidden/>
          </w:rPr>
          <w:fldChar w:fldCharType="separate"/>
        </w:r>
        <w:r>
          <w:rPr>
            <w:noProof/>
            <w:webHidden/>
          </w:rPr>
          <w:t>15</w:t>
        </w:r>
        <w:r w:rsidR="00F6469F">
          <w:rPr>
            <w:noProof/>
            <w:webHidden/>
          </w:rPr>
          <w:fldChar w:fldCharType="end"/>
        </w:r>
      </w:hyperlink>
    </w:p>
    <w:p w14:paraId="40DCE92E" w14:textId="65C489E7" w:rsidR="00F6469F" w:rsidRDefault="00CF2869">
      <w:pPr>
        <w:pStyle w:val="TOC2"/>
        <w:tabs>
          <w:tab w:val="right" w:leader="dot" w:pos="9912"/>
        </w:tabs>
        <w:rPr>
          <w:rFonts w:asciiTheme="minorHAnsi" w:eastAsiaTheme="minorEastAsia" w:hAnsiTheme="minorHAnsi" w:cstheme="minorBidi"/>
          <w:i w:val="0"/>
          <w:iCs w:val="0"/>
          <w:noProof/>
          <w:sz w:val="22"/>
          <w:szCs w:val="22"/>
          <w:lang w:eastAsia="en-GB"/>
        </w:rPr>
      </w:pPr>
      <w:hyperlink w:anchor="_Toc46843659" w:history="1">
        <w:r w:rsidR="00F6469F" w:rsidRPr="00F47E38">
          <w:rPr>
            <w:rStyle w:val="Hyperlink"/>
            <w:noProof/>
          </w:rPr>
          <w:t>8.4 Unlicensed Medicines-specials</w:t>
        </w:r>
        <w:r w:rsidR="00F6469F">
          <w:rPr>
            <w:noProof/>
            <w:webHidden/>
          </w:rPr>
          <w:tab/>
        </w:r>
        <w:r w:rsidR="00F6469F">
          <w:rPr>
            <w:noProof/>
            <w:webHidden/>
          </w:rPr>
          <w:fldChar w:fldCharType="begin"/>
        </w:r>
        <w:r w:rsidR="00F6469F">
          <w:rPr>
            <w:noProof/>
            <w:webHidden/>
          </w:rPr>
          <w:instrText xml:space="preserve"> PAGEREF _Toc46843659 \h </w:instrText>
        </w:r>
        <w:r w:rsidR="00F6469F">
          <w:rPr>
            <w:noProof/>
            <w:webHidden/>
          </w:rPr>
        </w:r>
        <w:r w:rsidR="00F6469F">
          <w:rPr>
            <w:noProof/>
            <w:webHidden/>
          </w:rPr>
          <w:fldChar w:fldCharType="separate"/>
        </w:r>
        <w:r>
          <w:rPr>
            <w:noProof/>
            <w:webHidden/>
          </w:rPr>
          <w:t>17</w:t>
        </w:r>
        <w:r w:rsidR="00F6469F">
          <w:rPr>
            <w:noProof/>
            <w:webHidden/>
          </w:rPr>
          <w:fldChar w:fldCharType="end"/>
        </w:r>
      </w:hyperlink>
    </w:p>
    <w:p w14:paraId="75EA5E27" w14:textId="40191E0B" w:rsidR="00F6469F" w:rsidRDefault="00CF2869">
      <w:pPr>
        <w:pStyle w:val="TOC2"/>
        <w:tabs>
          <w:tab w:val="right" w:leader="dot" w:pos="9912"/>
        </w:tabs>
        <w:rPr>
          <w:rFonts w:asciiTheme="minorHAnsi" w:eastAsiaTheme="minorEastAsia" w:hAnsiTheme="minorHAnsi" w:cstheme="minorBidi"/>
          <w:i w:val="0"/>
          <w:iCs w:val="0"/>
          <w:noProof/>
          <w:sz w:val="22"/>
          <w:szCs w:val="22"/>
          <w:lang w:eastAsia="en-GB"/>
        </w:rPr>
      </w:pPr>
      <w:hyperlink w:anchor="_Toc46843660" w:history="1">
        <w:r w:rsidR="00F6469F" w:rsidRPr="00F47E38">
          <w:rPr>
            <w:rStyle w:val="Hyperlink"/>
            <w:noProof/>
          </w:rPr>
          <w:t>8.5 Prescribing medicines for use outside the terms of the license - Off Label</w:t>
        </w:r>
        <w:r w:rsidR="00F6469F">
          <w:rPr>
            <w:noProof/>
            <w:webHidden/>
          </w:rPr>
          <w:tab/>
        </w:r>
        <w:r w:rsidR="00F6469F">
          <w:rPr>
            <w:noProof/>
            <w:webHidden/>
          </w:rPr>
          <w:fldChar w:fldCharType="begin"/>
        </w:r>
        <w:r w:rsidR="00F6469F">
          <w:rPr>
            <w:noProof/>
            <w:webHidden/>
          </w:rPr>
          <w:instrText xml:space="preserve"> PAGEREF _Toc46843660 \h </w:instrText>
        </w:r>
        <w:r w:rsidR="00F6469F">
          <w:rPr>
            <w:noProof/>
            <w:webHidden/>
          </w:rPr>
        </w:r>
        <w:r w:rsidR="00F6469F">
          <w:rPr>
            <w:noProof/>
            <w:webHidden/>
          </w:rPr>
          <w:fldChar w:fldCharType="separate"/>
        </w:r>
        <w:r>
          <w:rPr>
            <w:noProof/>
            <w:webHidden/>
          </w:rPr>
          <w:t>17</w:t>
        </w:r>
        <w:r w:rsidR="00F6469F">
          <w:rPr>
            <w:noProof/>
            <w:webHidden/>
          </w:rPr>
          <w:fldChar w:fldCharType="end"/>
        </w:r>
      </w:hyperlink>
    </w:p>
    <w:p w14:paraId="3B2AF335" w14:textId="56DED7C7" w:rsidR="00F6469F" w:rsidRDefault="00CF2869">
      <w:pPr>
        <w:pStyle w:val="TOC2"/>
        <w:tabs>
          <w:tab w:val="right" w:leader="dot" w:pos="9912"/>
        </w:tabs>
        <w:rPr>
          <w:rFonts w:asciiTheme="minorHAnsi" w:eastAsiaTheme="minorEastAsia" w:hAnsiTheme="minorHAnsi" w:cstheme="minorBidi"/>
          <w:i w:val="0"/>
          <w:iCs w:val="0"/>
          <w:noProof/>
          <w:sz w:val="22"/>
          <w:szCs w:val="22"/>
          <w:lang w:eastAsia="en-GB"/>
        </w:rPr>
      </w:pPr>
      <w:hyperlink w:anchor="_Toc46843661" w:history="1">
        <w:r w:rsidR="00F6469F" w:rsidRPr="00F47E38">
          <w:rPr>
            <w:rStyle w:val="Hyperlink"/>
            <w:noProof/>
          </w:rPr>
          <w:t>8.6 Controlled Drugs</w:t>
        </w:r>
        <w:r w:rsidR="00F6469F">
          <w:rPr>
            <w:noProof/>
            <w:webHidden/>
          </w:rPr>
          <w:tab/>
        </w:r>
        <w:r w:rsidR="00F6469F">
          <w:rPr>
            <w:noProof/>
            <w:webHidden/>
          </w:rPr>
          <w:fldChar w:fldCharType="begin"/>
        </w:r>
        <w:r w:rsidR="00F6469F">
          <w:rPr>
            <w:noProof/>
            <w:webHidden/>
          </w:rPr>
          <w:instrText xml:space="preserve"> PAGEREF _Toc46843661 \h </w:instrText>
        </w:r>
        <w:r w:rsidR="00F6469F">
          <w:rPr>
            <w:noProof/>
            <w:webHidden/>
          </w:rPr>
        </w:r>
        <w:r w:rsidR="00F6469F">
          <w:rPr>
            <w:noProof/>
            <w:webHidden/>
          </w:rPr>
          <w:fldChar w:fldCharType="separate"/>
        </w:r>
        <w:r>
          <w:rPr>
            <w:noProof/>
            <w:webHidden/>
          </w:rPr>
          <w:t>17</w:t>
        </w:r>
        <w:r w:rsidR="00F6469F">
          <w:rPr>
            <w:noProof/>
            <w:webHidden/>
          </w:rPr>
          <w:fldChar w:fldCharType="end"/>
        </w:r>
      </w:hyperlink>
    </w:p>
    <w:p w14:paraId="79C1079A" w14:textId="708A4381" w:rsidR="00F6469F" w:rsidRDefault="00CF2869">
      <w:pPr>
        <w:pStyle w:val="TOC2"/>
        <w:tabs>
          <w:tab w:val="right" w:leader="dot" w:pos="9912"/>
        </w:tabs>
        <w:rPr>
          <w:rFonts w:asciiTheme="minorHAnsi" w:eastAsiaTheme="minorEastAsia" w:hAnsiTheme="minorHAnsi" w:cstheme="minorBidi"/>
          <w:i w:val="0"/>
          <w:iCs w:val="0"/>
          <w:noProof/>
          <w:sz w:val="22"/>
          <w:szCs w:val="22"/>
          <w:lang w:eastAsia="en-GB"/>
        </w:rPr>
      </w:pPr>
      <w:hyperlink w:anchor="_Toc46843662" w:history="1">
        <w:r w:rsidR="00F6469F" w:rsidRPr="00F47E38">
          <w:rPr>
            <w:rStyle w:val="Hyperlink"/>
            <w:noProof/>
          </w:rPr>
          <w:t>8.7 Repeat Prescribing</w:t>
        </w:r>
        <w:r w:rsidR="00F6469F">
          <w:rPr>
            <w:noProof/>
            <w:webHidden/>
          </w:rPr>
          <w:tab/>
        </w:r>
        <w:r w:rsidR="00F6469F">
          <w:rPr>
            <w:noProof/>
            <w:webHidden/>
          </w:rPr>
          <w:fldChar w:fldCharType="begin"/>
        </w:r>
        <w:r w:rsidR="00F6469F">
          <w:rPr>
            <w:noProof/>
            <w:webHidden/>
          </w:rPr>
          <w:instrText xml:space="preserve"> PAGEREF _Toc46843662 \h </w:instrText>
        </w:r>
        <w:r w:rsidR="00F6469F">
          <w:rPr>
            <w:noProof/>
            <w:webHidden/>
          </w:rPr>
        </w:r>
        <w:r w:rsidR="00F6469F">
          <w:rPr>
            <w:noProof/>
            <w:webHidden/>
          </w:rPr>
          <w:fldChar w:fldCharType="separate"/>
        </w:r>
        <w:r>
          <w:rPr>
            <w:noProof/>
            <w:webHidden/>
          </w:rPr>
          <w:t>18</w:t>
        </w:r>
        <w:r w:rsidR="00F6469F">
          <w:rPr>
            <w:noProof/>
            <w:webHidden/>
          </w:rPr>
          <w:fldChar w:fldCharType="end"/>
        </w:r>
      </w:hyperlink>
    </w:p>
    <w:p w14:paraId="7D4D867E" w14:textId="2F8E98A1" w:rsidR="00F6469F" w:rsidRDefault="00CF2869">
      <w:pPr>
        <w:pStyle w:val="TOC2"/>
        <w:tabs>
          <w:tab w:val="right" w:leader="dot" w:pos="9912"/>
        </w:tabs>
        <w:rPr>
          <w:rFonts w:asciiTheme="minorHAnsi" w:eastAsiaTheme="minorEastAsia" w:hAnsiTheme="minorHAnsi" w:cstheme="minorBidi"/>
          <w:i w:val="0"/>
          <w:iCs w:val="0"/>
          <w:noProof/>
          <w:sz w:val="22"/>
          <w:szCs w:val="22"/>
          <w:lang w:eastAsia="en-GB"/>
        </w:rPr>
      </w:pPr>
      <w:hyperlink w:anchor="_Toc46843663" w:history="1">
        <w:r w:rsidR="00F6469F" w:rsidRPr="00F47E38">
          <w:rPr>
            <w:rStyle w:val="Hyperlink"/>
            <w:noProof/>
          </w:rPr>
          <w:t>8.8 Private Prescriptions</w:t>
        </w:r>
        <w:r w:rsidR="00F6469F">
          <w:rPr>
            <w:noProof/>
            <w:webHidden/>
          </w:rPr>
          <w:tab/>
        </w:r>
        <w:r w:rsidR="00F6469F">
          <w:rPr>
            <w:noProof/>
            <w:webHidden/>
          </w:rPr>
          <w:fldChar w:fldCharType="begin"/>
        </w:r>
        <w:r w:rsidR="00F6469F">
          <w:rPr>
            <w:noProof/>
            <w:webHidden/>
          </w:rPr>
          <w:instrText xml:space="preserve"> PAGEREF _Toc46843663 \h </w:instrText>
        </w:r>
        <w:r w:rsidR="00F6469F">
          <w:rPr>
            <w:noProof/>
            <w:webHidden/>
          </w:rPr>
        </w:r>
        <w:r w:rsidR="00F6469F">
          <w:rPr>
            <w:noProof/>
            <w:webHidden/>
          </w:rPr>
          <w:fldChar w:fldCharType="separate"/>
        </w:r>
        <w:r>
          <w:rPr>
            <w:noProof/>
            <w:webHidden/>
          </w:rPr>
          <w:t>18</w:t>
        </w:r>
        <w:r w:rsidR="00F6469F">
          <w:rPr>
            <w:noProof/>
            <w:webHidden/>
          </w:rPr>
          <w:fldChar w:fldCharType="end"/>
        </w:r>
      </w:hyperlink>
    </w:p>
    <w:p w14:paraId="222D912D" w14:textId="7A5E82DA" w:rsidR="00F6469F" w:rsidRDefault="00CF2869">
      <w:pPr>
        <w:pStyle w:val="TOC2"/>
        <w:tabs>
          <w:tab w:val="right" w:leader="dot" w:pos="9912"/>
        </w:tabs>
        <w:rPr>
          <w:rFonts w:asciiTheme="minorHAnsi" w:eastAsiaTheme="minorEastAsia" w:hAnsiTheme="minorHAnsi" w:cstheme="minorBidi"/>
          <w:i w:val="0"/>
          <w:iCs w:val="0"/>
          <w:noProof/>
          <w:sz w:val="22"/>
          <w:szCs w:val="22"/>
          <w:lang w:eastAsia="en-GB"/>
        </w:rPr>
      </w:pPr>
      <w:hyperlink w:anchor="_Toc46843664" w:history="1">
        <w:r w:rsidR="00F6469F" w:rsidRPr="00F47E38">
          <w:rPr>
            <w:rStyle w:val="Hyperlink"/>
            <w:noProof/>
          </w:rPr>
          <w:t>8.9 Prescribing for Self, Family, Friends and Colleagues</w:t>
        </w:r>
        <w:r w:rsidR="00F6469F">
          <w:rPr>
            <w:noProof/>
            <w:webHidden/>
          </w:rPr>
          <w:tab/>
        </w:r>
        <w:r w:rsidR="00F6469F">
          <w:rPr>
            <w:noProof/>
            <w:webHidden/>
          </w:rPr>
          <w:fldChar w:fldCharType="begin"/>
        </w:r>
        <w:r w:rsidR="00F6469F">
          <w:rPr>
            <w:noProof/>
            <w:webHidden/>
          </w:rPr>
          <w:instrText xml:space="preserve"> PAGEREF _Toc46843664 \h </w:instrText>
        </w:r>
        <w:r w:rsidR="00F6469F">
          <w:rPr>
            <w:noProof/>
            <w:webHidden/>
          </w:rPr>
        </w:r>
        <w:r w:rsidR="00F6469F">
          <w:rPr>
            <w:noProof/>
            <w:webHidden/>
          </w:rPr>
          <w:fldChar w:fldCharType="separate"/>
        </w:r>
        <w:r>
          <w:rPr>
            <w:noProof/>
            <w:webHidden/>
          </w:rPr>
          <w:t>19</w:t>
        </w:r>
        <w:r w:rsidR="00F6469F">
          <w:rPr>
            <w:noProof/>
            <w:webHidden/>
          </w:rPr>
          <w:fldChar w:fldCharType="end"/>
        </w:r>
      </w:hyperlink>
    </w:p>
    <w:p w14:paraId="4927397F" w14:textId="17522DB0" w:rsidR="00F6469F" w:rsidRDefault="00CF2869">
      <w:pPr>
        <w:pStyle w:val="TOC1"/>
        <w:tabs>
          <w:tab w:val="right" w:leader="dot" w:pos="9912"/>
        </w:tabs>
        <w:rPr>
          <w:rFonts w:asciiTheme="minorHAnsi" w:eastAsiaTheme="minorEastAsia" w:hAnsiTheme="minorHAnsi" w:cstheme="minorBidi"/>
          <w:b w:val="0"/>
          <w:bCs w:val="0"/>
          <w:noProof/>
          <w:sz w:val="22"/>
          <w:szCs w:val="22"/>
          <w:lang w:eastAsia="en-GB"/>
        </w:rPr>
      </w:pPr>
      <w:hyperlink w:anchor="_Toc46843665" w:history="1">
        <w:r w:rsidR="00F6469F" w:rsidRPr="00F47E38">
          <w:rPr>
            <w:rStyle w:val="Hyperlink"/>
            <w:noProof/>
          </w:rPr>
          <w:t>9.0 Adverse Drug reactions</w:t>
        </w:r>
        <w:r w:rsidR="00F6469F">
          <w:rPr>
            <w:noProof/>
            <w:webHidden/>
          </w:rPr>
          <w:tab/>
        </w:r>
        <w:r w:rsidR="00F6469F">
          <w:rPr>
            <w:noProof/>
            <w:webHidden/>
          </w:rPr>
          <w:fldChar w:fldCharType="begin"/>
        </w:r>
        <w:r w:rsidR="00F6469F">
          <w:rPr>
            <w:noProof/>
            <w:webHidden/>
          </w:rPr>
          <w:instrText xml:space="preserve"> PAGEREF _Toc46843665 \h </w:instrText>
        </w:r>
        <w:r w:rsidR="00F6469F">
          <w:rPr>
            <w:noProof/>
            <w:webHidden/>
          </w:rPr>
        </w:r>
        <w:r w:rsidR="00F6469F">
          <w:rPr>
            <w:noProof/>
            <w:webHidden/>
          </w:rPr>
          <w:fldChar w:fldCharType="separate"/>
        </w:r>
        <w:r>
          <w:rPr>
            <w:noProof/>
            <w:webHidden/>
          </w:rPr>
          <w:t>19</w:t>
        </w:r>
        <w:r w:rsidR="00F6469F">
          <w:rPr>
            <w:noProof/>
            <w:webHidden/>
          </w:rPr>
          <w:fldChar w:fldCharType="end"/>
        </w:r>
      </w:hyperlink>
    </w:p>
    <w:p w14:paraId="00D5A84A" w14:textId="54ADBB5B" w:rsidR="00F6469F" w:rsidRDefault="00CF2869">
      <w:pPr>
        <w:pStyle w:val="TOC1"/>
        <w:tabs>
          <w:tab w:val="right" w:leader="dot" w:pos="9912"/>
        </w:tabs>
        <w:rPr>
          <w:rFonts w:asciiTheme="minorHAnsi" w:eastAsiaTheme="minorEastAsia" w:hAnsiTheme="minorHAnsi" w:cstheme="minorBidi"/>
          <w:b w:val="0"/>
          <w:bCs w:val="0"/>
          <w:noProof/>
          <w:sz w:val="22"/>
          <w:szCs w:val="22"/>
          <w:lang w:eastAsia="en-GB"/>
        </w:rPr>
      </w:pPr>
      <w:hyperlink w:anchor="_Toc46843666" w:history="1">
        <w:r w:rsidR="00F6469F" w:rsidRPr="00F47E38">
          <w:rPr>
            <w:rStyle w:val="Hyperlink"/>
            <w:noProof/>
          </w:rPr>
          <w:t>10.0 Incidents</w:t>
        </w:r>
        <w:r w:rsidR="00F6469F">
          <w:rPr>
            <w:noProof/>
            <w:webHidden/>
          </w:rPr>
          <w:tab/>
        </w:r>
        <w:r w:rsidR="00F6469F">
          <w:rPr>
            <w:noProof/>
            <w:webHidden/>
          </w:rPr>
          <w:fldChar w:fldCharType="begin"/>
        </w:r>
        <w:r w:rsidR="00F6469F">
          <w:rPr>
            <w:noProof/>
            <w:webHidden/>
          </w:rPr>
          <w:instrText xml:space="preserve"> PAGEREF _Toc46843666 \h </w:instrText>
        </w:r>
        <w:r w:rsidR="00F6469F">
          <w:rPr>
            <w:noProof/>
            <w:webHidden/>
          </w:rPr>
        </w:r>
        <w:r w:rsidR="00F6469F">
          <w:rPr>
            <w:noProof/>
            <w:webHidden/>
          </w:rPr>
          <w:fldChar w:fldCharType="separate"/>
        </w:r>
        <w:r>
          <w:rPr>
            <w:noProof/>
            <w:webHidden/>
          </w:rPr>
          <w:t>19</w:t>
        </w:r>
        <w:r w:rsidR="00F6469F">
          <w:rPr>
            <w:noProof/>
            <w:webHidden/>
          </w:rPr>
          <w:fldChar w:fldCharType="end"/>
        </w:r>
      </w:hyperlink>
    </w:p>
    <w:p w14:paraId="1FA5C89F" w14:textId="2AA99A51" w:rsidR="00F6469F" w:rsidRDefault="00CF2869">
      <w:pPr>
        <w:pStyle w:val="TOC1"/>
        <w:tabs>
          <w:tab w:val="right" w:leader="dot" w:pos="9912"/>
        </w:tabs>
        <w:rPr>
          <w:rFonts w:asciiTheme="minorHAnsi" w:eastAsiaTheme="minorEastAsia" w:hAnsiTheme="minorHAnsi" w:cstheme="minorBidi"/>
          <w:b w:val="0"/>
          <w:bCs w:val="0"/>
          <w:noProof/>
          <w:sz w:val="22"/>
          <w:szCs w:val="22"/>
          <w:lang w:eastAsia="en-GB"/>
        </w:rPr>
      </w:pPr>
      <w:hyperlink w:anchor="_Toc46843667" w:history="1">
        <w:r w:rsidR="00F6469F" w:rsidRPr="00F47E38">
          <w:rPr>
            <w:rStyle w:val="Hyperlink"/>
            <w:noProof/>
          </w:rPr>
          <w:t>11.0 Security and Safe Handling of Prescription Forms</w:t>
        </w:r>
        <w:r w:rsidR="00F6469F">
          <w:rPr>
            <w:noProof/>
            <w:webHidden/>
          </w:rPr>
          <w:tab/>
        </w:r>
        <w:r w:rsidR="00F6469F">
          <w:rPr>
            <w:noProof/>
            <w:webHidden/>
          </w:rPr>
          <w:fldChar w:fldCharType="begin"/>
        </w:r>
        <w:r w:rsidR="00F6469F">
          <w:rPr>
            <w:noProof/>
            <w:webHidden/>
          </w:rPr>
          <w:instrText xml:space="preserve"> PAGEREF _Toc46843667 \h </w:instrText>
        </w:r>
        <w:r w:rsidR="00F6469F">
          <w:rPr>
            <w:noProof/>
            <w:webHidden/>
          </w:rPr>
        </w:r>
        <w:r w:rsidR="00F6469F">
          <w:rPr>
            <w:noProof/>
            <w:webHidden/>
          </w:rPr>
          <w:fldChar w:fldCharType="separate"/>
        </w:r>
        <w:r>
          <w:rPr>
            <w:noProof/>
            <w:webHidden/>
          </w:rPr>
          <w:t>19</w:t>
        </w:r>
        <w:r w:rsidR="00F6469F">
          <w:rPr>
            <w:noProof/>
            <w:webHidden/>
          </w:rPr>
          <w:fldChar w:fldCharType="end"/>
        </w:r>
      </w:hyperlink>
    </w:p>
    <w:p w14:paraId="360E35E8" w14:textId="43BD3F13" w:rsidR="00F6469F" w:rsidRDefault="00CF2869">
      <w:pPr>
        <w:pStyle w:val="TOC1"/>
        <w:tabs>
          <w:tab w:val="right" w:leader="dot" w:pos="9912"/>
        </w:tabs>
        <w:rPr>
          <w:rFonts w:asciiTheme="minorHAnsi" w:eastAsiaTheme="minorEastAsia" w:hAnsiTheme="minorHAnsi" w:cstheme="minorBidi"/>
          <w:b w:val="0"/>
          <w:bCs w:val="0"/>
          <w:noProof/>
          <w:sz w:val="22"/>
          <w:szCs w:val="22"/>
          <w:lang w:eastAsia="en-GB"/>
        </w:rPr>
      </w:pPr>
      <w:hyperlink w:anchor="_Toc46843668" w:history="1">
        <w:r w:rsidR="00F6469F" w:rsidRPr="00F47E38">
          <w:rPr>
            <w:rStyle w:val="Hyperlink"/>
            <w:noProof/>
          </w:rPr>
          <w:t xml:space="preserve">12.0 Gifts and Benefits - refer to </w:t>
        </w:r>
        <w:r w:rsidR="003B723E">
          <w:rPr>
            <w:rStyle w:val="Hyperlink"/>
            <w:noProof/>
          </w:rPr>
          <w:t xml:space="preserve">TNW </w:t>
        </w:r>
        <w:r w:rsidR="00F6469F" w:rsidRPr="00F47E38">
          <w:rPr>
            <w:rStyle w:val="Hyperlink"/>
            <w:noProof/>
          </w:rPr>
          <w:t>policy on Intranet</w:t>
        </w:r>
        <w:r w:rsidR="00F6469F">
          <w:rPr>
            <w:noProof/>
            <w:webHidden/>
          </w:rPr>
          <w:tab/>
        </w:r>
        <w:r w:rsidR="00F6469F">
          <w:rPr>
            <w:noProof/>
            <w:webHidden/>
          </w:rPr>
          <w:fldChar w:fldCharType="begin"/>
        </w:r>
        <w:r w:rsidR="00F6469F">
          <w:rPr>
            <w:noProof/>
            <w:webHidden/>
          </w:rPr>
          <w:instrText xml:space="preserve"> PAGEREF _Toc46843668 \h </w:instrText>
        </w:r>
        <w:r w:rsidR="00F6469F">
          <w:rPr>
            <w:noProof/>
            <w:webHidden/>
          </w:rPr>
        </w:r>
        <w:r w:rsidR="00F6469F">
          <w:rPr>
            <w:noProof/>
            <w:webHidden/>
          </w:rPr>
          <w:fldChar w:fldCharType="separate"/>
        </w:r>
        <w:r>
          <w:rPr>
            <w:noProof/>
            <w:webHidden/>
          </w:rPr>
          <w:t>20</w:t>
        </w:r>
        <w:r w:rsidR="00F6469F">
          <w:rPr>
            <w:noProof/>
            <w:webHidden/>
          </w:rPr>
          <w:fldChar w:fldCharType="end"/>
        </w:r>
      </w:hyperlink>
    </w:p>
    <w:p w14:paraId="5A36E8D2" w14:textId="2CA488B9" w:rsidR="00F6469F" w:rsidRDefault="00CF2869">
      <w:pPr>
        <w:pStyle w:val="TOC1"/>
        <w:tabs>
          <w:tab w:val="right" w:leader="dot" w:pos="9912"/>
        </w:tabs>
        <w:rPr>
          <w:rFonts w:asciiTheme="minorHAnsi" w:eastAsiaTheme="minorEastAsia" w:hAnsiTheme="minorHAnsi" w:cstheme="minorBidi"/>
          <w:b w:val="0"/>
          <w:bCs w:val="0"/>
          <w:noProof/>
          <w:sz w:val="22"/>
          <w:szCs w:val="22"/>
          <w:lang w:eastAsia="en-GB"/>
        </w:rPr>
      </w:pPr>
      <w:hyperlink w:anchor="_Toc46843669" w:history="1">
        <w:r w:rsidR="00F6469F" w:rsidRPr="00F47E38">
          <w:rPr>
            <w:rStyle w:val="Hyperlink"/>
            <w:noProof/>
          </w:rPr>
          <w:t>13.0 Free Samples</w:t>
        </w:r>
        <w:r w:rsidR="00F6469F">
          <w:rPr>
            <w:noProof/>
            <w:webHidden/>
          </w:rPr>
          <w:tab/>
        </w:r>
        <w:r w:rsidR="00F6469F">
          <w:rPr>
            <w:noProof/>
            <w:webHidden/>
          </w:rPr>
          <w:fldChar w:fldCharType="begin"/>
        </w:r>
        <w:r w:rsidR="00F6469F">
          <w:rPr>
            <w:noProof/>
            <w:webHidden/>
          </w:rPr>
          <w:instrText xml:space="preserve"> PAGEREF _Toc46843669 \h </w:instrText>
        </w:r>
        <w:r w:rsidR="00F6469F">
          <w:rPr>
            <w:noProof/>
            <w:webHidden/>
          </w:rPr>
        </w:r>
        <w:r w:rsidR="00F6469F">
          <w:rPr>
            <w:noProof/>
            <w:webHidden/>
          </w:rPr>
          <w:fldChar w:fldCharType="separate"/>
        </w:r>
        <w:r>
          <w:rPr>
            <w:noProof/>
            <w:webHidden/>
          </w:rPr>
          <w:t>21</w:t>
        </w:r>
        <w:r w:rsidR="00F6469F">
          <w:rPr>
            <w:noProof/>
            <w:webHidden/>
          </w:rPr>
          <w:fldChar w:fldCharType="end"/>
        </w:r>
      </w:hyperlink>
    </w:p>
    <w:p w14:paraId="078EB93A" w14:textId="796ECCF9" w:rsidR="00F6469F" w:rsidRDefault="00DF28E4" w:rsidP="00AB0A76">
      <w:pPr>
        <w:spacing w:before="0" w:after="0"/>
        <w:jc w:val="left"/>
        <w:rPr>
          <w:rFonts w:asciiTheme="minorHAnsi" w:eastAsiaTheme="minorEastAsia" w:hAnsiTheme="minorHAnsi" w:cstheme="minorBidi"/>
          <w:b/>
          <w:bCs/>
          <w:noProof/>
          <w:lang w:eastAsia="en-GB"/>
        </w:rPr>
      </w:pPr>
      <w:r>
        <w:rPr>
          <w:rStyle w:val="Hyperlink"/>
          <w:noProof/>
        </w:rPr>
        <w:br w:type="page"/>
      </w:r>
      <w:hyperlink w:anchor="_Toc46843670" w:history="1">
        <w:r w:rsidR="00F6469F" w:rsidRPr="00F47E38">
          <w:rPr>
            <w:rStyle w:val="Hyperlink"/>
            <w:noProof/>
          </w:rPr>
          <w:t>14.0 Meeting Representatives from the Pharmaceutical Industry</w:t>
        </w:r>
        <w:r w:rsidR="00F6469F">
          <w:rPr>
            <w:noProof/>
            <w:webHidden/>
          </w:rPr>
          <w:tab/>
        </w:r>
        <w:r w:rsidR="00F6469F">
          <w:rPr>
            <w:noProof/>
            <w:webHidden/>
          </w:rPr>
          <w:fldChar w:fldCharType="begin"/>
        </w:r>
        <w:r w:rsidR="00F6469F">
          <w:rPr>
            <w:noProof/>
            <w:webHidden/>
          </w:rPr>
          <w:instrText xml:space="preserve"> PAGEREF _Toc46843670 \h </w:instrText>
        </w:r>
        <w:r w:rsidR="00F6469F">
          <w:rPr>
            <w:noProof/>
            <w:webHidden/>
          </w:rPr>
        </w:r>
        <w:r w:rsidR="00F6469F">
          <w:rPr>
            <w:noProof/>
            <w:webHidden/>
          </w:rPr>
          <w:fldChar w:fldCharType="separate"/>
        </w:r>
        <w:r w:rsidR="00CF2869">
          <w:rPr>
            <w:noProof/>
            <w:webHidden/>
          </w:rPr>
          <w:t>21</w:t>
        </w:r>
        <w:r w:rsidR="00F6469F">
          <w:rPr>
            <w:noProof/>
            <w:webHidden/>
          </w:rPr>
          <w:fldChar w:fldCharType="end"/>
        </w:r>
      </w:hyperlink>
    </w:p>
    <w:p w14:paraId="09649FFE" w14:textId="4A2720E7" w:rsidR="00F6469F" w:rsidRDefault="00CF2869">
      <w:pPr>
        <w:pStyle w:val="TOC1"/>
        <w:tabs>
          <w:tab w:val="right" w:leader="dot" w:pos="9912"/>
        </w:tabs>
        <w:rPr>
          <w:rFonts w:asciiTheme="minorHAnsi" w:eastAsiaTheme="minorEastAsia" w:hAnsiTheme="minorHAnsi" w:cstheme="minorBidi"/>
          <w:b w:val="0"/>
          <w:bCs w:val="0"/>
          <w:noProof/>
          <w:sz w:val="22"/>
          <w:szCs w:val="22"/>
          <w:lang w:eastAsia="en-GB"/>
        </w:rPr>
      </w:pPr>
      <w:hyperlink w:anchor="_Toc46843671" w:history="1">
        <w:r w:rsidR="00F6469F" w:rsidRPr="00F47E38">
          <w:rPr>
            <w:rStyle w:val="Hyperlink"/>
            <w:noProof/>
          </w:rPr>
          <w:t>15.0 Contacts for Help and Support</w:t>
        </w:r>
        <w:r w:rsidR="00F6469F">
          <w:rPr>
            <w:noProof/>
            <w:webHidden/>
          </w:rPr>
          <w:tab/>
        </w:r>
        <w:r w:rsidR="00F6469F">
          <w:rPr>
            <w:noProof/>
            <w:webHidden/>
          </w:rPr>
          <w:fldChar w:fldCharType="begin"/>
        </w:r>
        <w:r w:rsidR="00F6469F">
          <w:rPr>
            <w:noProof/>
            <w:webHidden/>
          </w:rPr>
          <w:instrText xml:space="preserve"> PAGEREF _Toc46843671 \h </w:instrText>
        </w:r>
        <w:r w:rsidR="00F6469F">
          <w:rPr>
            <w:noProof/>
            <w:webHidden/>
          </w:rPr>
        </w:r>
        <w:r w:rsidR="00F6469F">
          <w:rPr>
            <w:noProof/>
            <w:webHidden/>
          </w:rPr>
          <w:fldChar w:fldCharType="separate"/>
        </w:r>
        <w:r>
          <w:rPr>
            <w:noProof/>
            <w:webHidden/>
          </w:rPr>
          <w:t>21</w:t>
        </w:r>
        <w:r w:rsidR="00F6469F">
          <w:rPr>
            <w:noProof/>
            <w:webHidden/>
          </w:rPr>
          <w:fldChar w:fldCharType="end"/>
        </w:r>
      </w:hyperlink>
    </w:p>
    <w:p w14:paraId="745A9668" w14:textId="00847502" w:rsidR="00F6469F" w:rsidRDefault="00CF2869">
      <w:pPr>
        <w:pStyle w:val="TOC1"/>
        <w:tabs>
          <w:tab w:val="left" w:pos="660"/>
          <w:tab w:val="right" w:leader="dot" w:pos="9912"/>
        </w:tabs>
        <w:rPr>
          <w:rFonts w:asciiTheme="minorHAnsi" w:eastAsiaTheme="minorEastAsia" w:hAnsiTheme="minorHAnsi" w:cstheme="minorBidi"/>
          <w:b w:val="0"/>
          <w:bCs w:val="0"/>
          <w:noProof/>
          <w:sz w:val="22"/>
          <w:szCs w:val="22"/>
          <w:lang w:eastAsia="en-GB"/>
        </w:rPr>
      </w:pPr>
      <w:hyperlink w:anchor="_Toc46843672" w:history="1">
        <w:r w:rsidR="00F6469F" w:rsidRPr="00F47E38">
          <w:rPr>
            <w:rStyle w:val="Hyperlink"/>
            <w:noProof/>
          </w:rPr>
          <w:t>16.0</w:t>
        </w:r>
        <w:r w:rsidR="00F6469F">
          <w:rPr>
            <w:rFonts w:asciiTheme="minorHAnsi" w:eastAsiaTheme="minorEastAsia" w:hAnsiTheme="minorHAnsi" w:cstheme="minorBidi"/>
            <w:b w:val="0"/>
            <w:bCs w:val="0"/>
            <w:noProof/>
            <w:sz w:val="22"/>
            <w:szCs w:val="22"/>
            <w:lang w:eastAsia="en-GB"/>
          </w:rPr>
          <w:tab/>
        </w:r>
        <w:r w:rsidR="00F6469F" w:rsidRPr="00F47E38">
          <w:rPr>
            <w:rStyle w:val="Hyperlink"/>
            <w:noProof/>
          </w:rPr>
          <w:t xml:space="preserve"> Appendices</w:t>
        </w:r>
        <w:r w:rsidR="00F6469F">
          <w:rPr>
            <w:noProof/>
            <w:webHidden/>
          </w:rPr>
          <w:tab/>
        </w:r>
        <w:r w:rsidR="00F6469F">
          <w:rPr>
            <w:noProof/>
            <w:webHidden/>
          </w:rPr>
          <w:fldChar w:fldCharType="begin"/>
        </w:r>
        <w:r w:rsidR="00F6469F">
          <w:rPr>
            <w:noProof/>
            <w:webHidden/>
          </w:rPr>
          <w:instrText xml:space="preserve"> PAGEREF _Toc46843672 \h </w:instrText>
        </w:r>
        <w:r w:rsidR="00F6469F">
          <w:rPr>
            <w:noProof/>
            <w:webHidden/>
          </w:rPr>
        </w:r>
        <w:r w:rsidR="00F6469F">
          <w:rPr>
            <w:noProof/>
            <w:webHidden/>
          </w:rPr>
          <w:fldChar w:fldCharType="separate"/>
        </w:r>
        <w:r>
          <w:rPr>
            <w:noProof/>
            <w:webHidden/>
          </w:rPr>
          <w:t>22</w:t>
        </w:r>
        <w:r w:rsidR="00F6469F">
          <w:rPr>
            <w:noProof/>
            <w:webHidden/>
          </w:rPr>
          <w:fldChar w:fldCharType="end"/>
        </w:r>
      </w:hyperlink>
    </w:p>
    <w:p w14:paraId="52490A64" w14:textId="5B00501F" w:rsidR="00F6469F" w:rsidRDefault="00CF2869">
      <w:pPr>
        <w:pStyle w:val="TOC2"/>
        <w:tabs>
          <w:tab w:val="right" w:leader="dot" w:pos="9912"/>
        </w:tabs>
        <w:rPr>
          <w:rFonts w:asciiTheme="minorHAnsi" w:eastAsiaTheme="minorEastAsia" w:hAnsiTheme="minorHAnsi" w:cstheme="minorBidi"/>
          <w:i w:val="0"/>
          <w:iCs w:val="0"/>
          <w:noProof/>
          <w:sz w:val="22"/>
          <w:szCs w:val="22"/>
          <w:lang w:eastAsia="en-GB"/>
        </w:rPr>
      </w:pPr>
      <w:hyperlink w:anchor="_Toc46843673" w:history="1">
        <w:r w:rsidR="00F6469F" w:rsidRPr="00F47E38">
          <w:rPr>
            <w:rStyle w:val="Hyperlink"/>
            <w:noProof/>
          </w:rPr>
          <w:t>16.1 Appendix I: Checklist for registration of a NMP or making changes regarding registration status</w:t>
        </w:r>
        <w:r w:rsidR="00F6469F">
          <w:rPr>
            <w:noProof/>
            <w:webHidden/>
          </w:rPr>
          <w:tab/>
        </w:r>
        <w:r w:rsidR="00F6469F">
          <w:rPr>
            <w:noProof/>
            <w:webHidden/>
          </w:rPr>
          <w:fldChar w:fldCharType="begin"/>
        </w:r>
        <w:r w:rsidR="00F6469F">
          <w:rPr>
            <w:noProof/>
            <w:webHidden/>
          </w:rPr>
          <w:instrText xml:space="preserve"> PAGEREF _Toc46843673 \h </w:instrText>
        </w:r>
        <w:r w:rsidR="00F6469F">
          <w:rPr>
            <w:noProof/>
            <w:webHidden/>
          </w:rPr>
        </w:r>
        <w:r w:rsidR="00F6469F">
          <w:rPr>
            <w:noProof/>
            <w:webHidden/>
          </w:rPr>
          <w:fldChar w:fldCharType="separate"/>
        </w:r>
        <w:r>
          <w:rPr>
            <w:noProof/>
            <w:webHidden/>
          </w:rPr>
          <w:t>22</w:t>
        </w:r>
        <w:r w:rsidR="00F6469F">
          <w:rPr>
            <w:noProof/>
            <w:webHidden/>
          </w:rPr>
          <w:fldChar w:fldCharType="end"/>
        </w:r>
      </w:hyperlink>
    </w:p>
    <w:p w14:paraId="57208CD9" w14:textId="6A29CC5F" w:rsidR="00F6469F" w:rsidRDefault="00CF2869">
      <w:pPr>
        <w:pStyle w:val="TOC2"/>
        <w:tabs>
          <w:tab w:val="right" w:leader="dot" w:pos="9912"/>
        </w:tabs>
        <w:rPr>
          <w:rFonts w:asciiTheme="minorHAnsi" w:eastAsiaTheme="minorEastAsia" w:hAnsiTheme="minorHAnsi" w:cstheme="minorBidi"/>
          <w:i w:val="0"/>
          <w:iCs w:val="0"/>
          <w:noProof/>
          <w:sz w:val="22"/>
          <w:szCs w:val="22"/>
          <w:lang w:eastAsia="en-GB"/>
        </w:rPr>
      </w:pPr>
      <w:hyperlink w:anchor="_Toc46843674" w:history="1">
        <w:r w:rsidR="00F6469F" w:rsidRPr="00F47E38">
          <w:rPr>
            <w:rStyle w:val="Hyperlink"/>
            <w:noProof/>
          </w:rPr>
          <w:t>16.2 Appendix II: Standard Operating Procedure (SOP) for registering a NMP</w:t>
        </w:r>
        <w:r w:rsidR="00F6469F">
          <w:rPr>
            <w:noProof/>
            <w:webHidden/>
          </w:rPr>
          <w:tab/>
        </w:r>
        <w:r w:rsidR="00F6469F">
          <w:rPr>
            <w:noProof/>
            <w:webHidden/>
          </w:rPr>
          <w:fldChar w:fldCharType="begin"/>
        </w:r>
        <w:r w:rsidR="00F6469F">
          <w:rPr>
            <w:noProof/>
            <w:webHidden/>
          </w:rPr>
          <w:instrText xml:space="preserve"> PAGEREF _Toc46843674 \h </w:instrText>
        </w:r>
        <w:r w:rsidR="00F6469F">
          <w:rPr>
            <w:noProof/>
            <w:webHidden/>
          </w:rPr>
        </w:r>
        <w:r w:rsidR="00F6469F">
          <w:rPr>
            <w:noProof/>
            <w:webHidden/>
          </w:rPr>
          <w:fldChar w:fldCharType="separate"/>
        </w:r>
        <w:r>
          <w:rPr>
            <w:noProof/>
            <w:webHidden/>
          </w:rPr>
          <w:t>23</w:t>
        </w:r>
        <w:r w:rsidR="00F6469F">
          <w:rPr>
            <w:noProof/>
            <w:webHidden/>
          </w:rPr>
          <w:fldChar w:fldCharType="end"/>
        </w:r>
      </w:hyperlink>
    </w:p>
    <w:p w14:paraId="16C8379A" w14:textId="654065BE" w:rsidR="00F6469F" w:rsidRDefault="00CF2869">
      <w:pPr>
        <w:pStyle w:val="TOC2"/>
        <w:tabs>
          <w:tab w:val="left" w:pos="880"/>
          <w:tab w:val="right" w:leader="dot" w:pos="9912"/>
        </w:tabs>
        <w:rPr>
          <w:rFonts w:asciiTheme="minorHAnsi" w:eastAsiaTheme="minorEastAsia" w:hAnsiTheme="minorHAnsi" w:cstheme="minorBidi"/>
          <w:i w:val="0"/>
          <w:iCs w:val="0"/>
          <w:noProof/>
          <w:sz w:val="22"/>
          <w:szCs w:val="22"/>
          <w:lang w:eastAsia="en-GB"/>
        </w:rPr>
      </w:pPr>
      <w:hyperlink w:anchor="_Toc46843675" w:history="1">
        <w:r w:rsidR="00F6469F" w:rsidRPr="00F47E38">
          <w:rPr>
            <w:rStyle w:val="Hyperlink"/>
            <w:noProof/>
          </w:rPr>
          <w:t>16.3</w:t>
        </w:r>
        <w:r w:rsidR="00F6469F">
          <w:rPr>
            <w:rFonts w:asciiTheme="minorHAnsi" w:eastAsiaTheme="minorEastAsia" w:hAnsiTheme="minorHAnsi" w:cstheme="minorBidi"/>
            <w:i w:val="0"/>
            <w:iCs w:val="0"/>
            <w:noProof/>
            <w:sz w:val="22"/>
            <w:szCs w:val="22"/>
            <w:lang w:eastAsia="en-GB"/>
          </w:rPr>
          <w:tab/>
        </w:r>
        <w:r w:rsidR="00F6469F" w:rsidRPr="00F47E38">
          <w:rPr>
            <w:rStyle w:val="Hyperlink"/>
            <w:noProof/>
          </w:rPr>
          <w:t>Appendix III: Non-Medical Prescribers Registration Assurance Form</w:t>
        </w:r>
        <w:r w:rsidR="00F6469F">
          <w:rPr>
            <w:noProof/>
            <w:webHidden/>
          </w:rPr>
          <w:tab/>
        </w:r>
        <w:r w:rsidR="00F6469F">
          <w:rPr>
            <w:noProof/>
            <w:webHidden/>
          </w:rPr>
          <w:fldChar w:fldCharType="begin"/>
        </w:r>
        <w:r w:rsidR="00F6469F">
          <w:rPr>
            <w:noProof/>
            <w:webHidden/>
          </w:rPr>
          <w:instrText xml:space="preserve"> PAGEREF _Toc46843675 \h </w:instrText>
        </w:r>
        <w:r w:rsidR="00F6469F">
          <w:rPr>
            <w:noProof/>
            <w:webHidden/>
          </w:rPr>
        </w:r>
        <w:r w:rsidR="00F6469F">
          <w:rPr>
            <w:noProof/>
            <w:webHidden/>
          </w:rPr>
          <w:fldChar w:fldCharType="separate"/>
        </w:r>
        <w:r>
          <w:rPr>
            <w:noProof/>
            <w:webHidden/>
          </w:rPr>
          <w:t>24</w:t>
        </w:r>
        <w:r w:rsidR="00F6469F">
          <w:rPr>
            <w:noProof/>
            <w:webHidden/>
          </w:rPr>
          <w:fldChar w:fldCharType="end"/>
        </w:r>
      </w:hyperlink>
    </w:p>
    <w:p w14:paraId="1A09CF76" w14:textId="0379A48F" w:rsidR="00F6469F" w:rsidRDefault="00CF2869">
      <w:pPr>
        <w:pStyle w:val="TOC2"/>
        <w:tabs>
          <w:tab w:val="right" w:leader="dot" w:pos="9912"/>
        </w:tabs>
        <w:rPr>
          <w:rFonts w:asciiTheme="minorHAnsi" w:eastAsiaTheme="minorEastAsia" w:hAnsiTheme="minorHAnsi" w:cstheme="minorBidi"/>
          <w:i w:val="0"/>
          <w:iCs w:val="0"/>
          <w:noProof/>
          <w:sz w:val="22"/>
          <w:szCs w:val="22"/>
          <w:lang w:eastAsia="en-GB"/>
        </w:rPr>
      </w:pPr>
      <w:hyperlink w:anchor="_Toc46843676" w:history="1">
        <w:r w:rsidR="00F6469F" w:rsidRPr="00F47E38">
          <w:rPr>
            <w:rStyle w:val="Hyperlink"/>
            <w:noProof/>
          </w:rPr>
          <w:t>16.3. Appendix IV Non-Medical Prescribing Scope of Practice Agreement</w:t>
        </w:r>
        <w:r w:rsidR="00F6469F">
          <w:rPr>
            <w:noProof/>
            <w:webHidden/>
          </w:rPr>
          <w:tab/>
        </w:r>
        <w:r w:rsidR="00F6469F">
          <w:rPr>
            <w:noProof/>
            <w:webHidden/>
          </w:rPr>
          <w:fldChar w:fldCharType="begin"/>
        </w:r>
        <w:r w:rsidR="00F6469F">
          <w:rPr>
            <w:noProof/>
            <w:webHidden/>
          </w:rPr>
          <w:instrText xml:space="preserve"> PAGEREF _Toc46843676 \h </w:instrText>
        </w:r>
        <w:r w:rsidR="00F6469F">
          <w:rPr>
            <w:noProof/>
            <w:webHidden/>
          </w:rPr>
        </w:r>
        <w:r w:rsidR="00F6469F">
          <w:rPr>
            <w:noProof/>
            <w:webHidden/>
          </w:rPr>
          <w:fldChar w:fldCharType="separate"/>
        </w:r>
        <w:r>
          <w:rPr>
            <w:noProof/>
            <w:webHidden/>
          </w:rPr>
          <w:t>26</w:t>
        </w:r>
        <w:r w:rsidR="00F6469F">
          <w:rPr>
            <w:noProof/>
            <w:webHidden/>
          </w:rPr>
          <w:fldChar w:fldCharType="end"/>
        </w:r>
      </w:hyperlink>
    </w:p>
    <w:p w14:paraId="0568A468" w14:textId="6E604CDA" w:rsidR="00F6469F" w:rsidRDefault="00CF2869">
      <w:pPr>
        <w:pStyle w:val="TOC2"/>
        <w:tabs>
          <w:tab w:val="right" w:leader="dot" w:pos="9912"/>
        </w:tabs>
        <w:rPr>
          <w:rFonts w:asciiTheme="minorHAnsi" w:eastAsiaTheme="minorEastAsia" w:hAnsiTheme="minorHAnsi" w:cstheme="minorBidi"/>
          <w:i w:val="0"/>
          <w:iCs w:val="0"/>
          <w:noProof/>
          <w:sz w:val="22"/>
          <w:szCs w:val="22"/>
          <w:lang w:eastAsia="en-GB"/>
        </w:rPr>
      </w:pPr>
      <w:hyperlink w:anchor="_Toc46843677" w:history="1">
        <w:r w:rsidR="00F6469F" w:rsidRPr="00F47E38">
          <w:rPr>
            <w:rStyle w:val="Hyperlink"/>
            <w:noProof/>
          </w:rPr>
          <w:t>16.5 Appendix V: NMP joining a new organisation</w:t>
        </w:r>
        <w:r w:rsidR="00F6469F">
          <w:rPr>
            <w:noProof/>
            <w:webHidden/>
          </w:rPr>
          <w:tab/>
        </w:r>
        <w:r w:rsidR="00F6469F">
          <w:rPr>
            <w:noProof/>
            <w:webHidden/>
          </w:rPr>
          <w:fldChar w:fldCharType="begin"/>
        </w:r>
        <w:r w:rsidR="00F6469F">
          <w:rPr>
            <w:noProof/>
            <w:webHidden/>
          </w:rPr>
          <w:instrText xml:space="preserve"> PAGEREF _Toc46843677 \h </w:instrText>
        </w:r>
        <w:r w:rsidR="00F6469F">
          <w:rPr>
            <w:noProof/>
            <w:webHidden/>
          </w:rPr>
        </w:r>
        <w:r w:rsidR="00F6469F">
          <w:rPr>
            <w:noProof/>
            <w:webHidden/>
          </w:rPr>
          <w:fldChar w:fldCharType="separate"/>
        </w:r>
        <w:r>
          <w:rPr>
            <w:noProof/>
            <w:webHidden/>
          </w:rPr>
          <w:t>28</w:t>
        </w:r>
        <w:r w:rsidR="00F6469F">
          <w:rPr>
            <w:noProof/>
            <w:webHidden/>
          </w:rPr>
          <w:fldChar w:fldCharType="end"/>
        </w:r>
      </w:hyperlink>
    </w:p>
    <w:p w14:paraId="1A77E8A6" w14:textId="334F1988" w:rsidR="00F6469F" w:rsidRDefault="00CF2869">
      <w:pPr>
        <w:pStyle w:val="TOC2"/>
        <w:tabs>
          <w:tab w:val="right" w:leader="dot" w:pos="9912"/>
        </w:tabs>
        <w:rPr>
          <w:rFonts w:asciiTheme="minorHAnsi" w:eastAsiaTheme="minorEastAsia" w:hAnsiTheme="minorHAnsi" w:cstheme="minorBidi"/>
          <w:i w:val="0"/>
          <w:iCs w:val="0"/>
          <w:noProof/>
          <w:sz w:val="22"/>
          <w:szCs w:val="22"/>
          <w:lang w:eastAsia="en-GB"/>
        </w:rPr>
      </w:pPr>
      <w:hyperlink w:anchor="_Toc46843678" w:history="1">
        <w:r w:rsidR="00F6469F" w:rsidRPr="00F47E38">
          <w:rPr>
            <w:rStyle w:val="Hyperlink"/>
            <w:noProof/>
          </w:rPr>
          <w:t>16.6 Appendix VI: NMP leaving an organisation</w:t>
        </w:r>
        <w:r w:rsidR="00F6469F">
          <w:rPr>
            <w:noProof/>
            <w:webHidden/>
          </w:rPr>
          <w:tab/>
        </w:r>
        <w:r w:rsidR="00F6469F">
          <w:rPr>
            <w:noProof/>
            <w:webHidden/>
          </w:rPr>
          <w:fldChar w:fldCharType="begin"/>
        </w:r>
        <w:r w:rsidR="00F6469F">
          <w:rPr>
            <w:noProof/>
            <w:webHidden/>
          </w:rPr>
          <w:instrText xml:space="preserve"> PAGEREF _Toc46843678 \h </w:instrText>
        </w:r>
        <w:r w:rsidR="00F6469F">
          <w:rPr>
            <w:noProof/>
            <w:webHidden/>
          </w:rPr>
        </w:r>
        <w:r w:rsidR="00F6469F">
          <w:rPr>
            <w:noProof/>
            <w:webHidden/>
          </w:rPr>
          <w:fldChar w:fldCharType="separate"/>
        </w:r>
        <w:r>
          <w:rPr>
            <w:noProof/>
            <w:webHidden/>
          </w:rPr>
          <w:t>29</w:t>
        </w:r>
        <w:r w:rsidR="00F6469F">
          <w:rPr>
            <w:noProof/>
            <w:webHidden/>
          </w:rPr>
          <w:fldChar w:fldCharType="end"/>
        </w:r>
      </w:hyperlink>
    </w:p>
    <w:p w14:paraId="0524EAFF" w14:textId="3B49493F" w:rsidR="00F6469F" w:rsidRDefault="00CF2869">
      <w:pPr>
        <w:pStyle w:val="TOC2"/>
        <w:tabs>
          <w:tab w:val="right" w:leader="dot" w:pos="9912"/>
        </w:tabs>
        <w:rPr>
          <w:rFonts w:asciiTheme="minorHAnsi" w:eastAsiaTheme="minorEastAsia" w:hAnsiTheme="minorHAnsi" w:cstheme="minorBidi"/>
          <w:i w:val="0"/>
          <w:iCs w:val="0"/>
          <w:noProof/>
          <w:sz w:val="22"/>
          <w:szCs w:val="22"/>
          <w:lang w:eastAsia="en-GB"/>
        </w:rPr>
      </w:pPr>
      <w:hyperlink w:anchor="_Toc46843679" w:history="1">
        <w:r w:rsidR="00F6469F" w:rsidRPr="00F47E38">
          <w:rPr>
            <w:rStyle w:val="Hyperlink"/>
            <w:rFonts w:eastAsia="Arial"/>
            <w:noProof/>
          </w:rPr>
          <w:t>16.7 Appendix VII: Change of non-medical prescriber details</w:t>
        </w:r>
        <w:r w:rsidR="00F6469F">
          <w:rPr>
            <w:noProof/>
            <w:webHidden/>
          </w:rPr>
          <w:tab/>
        </w:r>
        <w:r w:rsidR="00F6469F">
          <w:rPr>
            <w:noProof/>
            <w:webHidden/>
          </w:rPr>
          <w:fldChar w:fldCharType="begin"/>
        </w:r>
        <w:r w:rsidR="00F6469F">
          <w:rPr>
            <w:noProof/>
            <w:webHidden/>
          </w:rPr>
          <w:instrText xml:space="preserve"> PAGEREF _Toc46843679 \h </w:instrText>
        </w:r>
        <w:r w:rsidR="00F6469F">
          <w:rPr>
            <w:noProof/>
            <w:webHidden/>
          </w:rPr>
        </w:r>
        <w:r w:rsidR="00F6469F">
          <w:rPr>
            <w:noProof/>
            <w:webHidden/>
          </w:rPr>
          <w:fldChar w:fldCharType="separate"/>
        </w:r>
        <w:r>
          <w:rPr>
            <w:noProof/>
            <w:webHidden/>
          </w:rPr>
          <w:t>30</w:t>
        </w:r>
        <w:r w:rsidR="00F6469F">
          <w:rPr>
            <w:noProof/>
            <w:webHidden/>
          </w:rPr>
          <w:fldChar w:fldCharType="end"/>
        </w:r>
      </w:hyperlink>
    </w:p>
    <w:p w14:paraId="7457DF12" w14:textId="6128532B" w:rsidR="00F6469F" w:rsidRDefault="00CF2869">
      <w:pPr>
        <w:pStyle w:val="TOC2"/>
        <w:tabs>
          <w:tab w:val="right" w:leader="dot" w:pos="9912"/>
        </w:tabs>
        <w:rPr>
          <w:rFonts w:asciiTheme="minorHAnsi" w:eastAsiaTheme="minorEastAsia" w:hAnsiTheme="minorHAnsi" w:cstheme="minorBidi"/>
          <w:i w:val="0"/>
          <w:iCs w:val="0"/>
          <w:noProof/>
          <w:sz w:val="22"/>
          <w:szCs w:val="22"/>
          <w:lang w:eastAsia="en-GB"/>
        </w:rPr>
      </w:pPr>
      <w:hyperlink w:anchor="_Toc46843680" w:history="1">
        <w:r w:rsidR="00F6469F" w:rsidRPr="00F47E38">
          <w:rPr>
            <w:rStyle w:val="Hyperlink"/>
            <w:noProof/>
          </w:rPr>
          <w:t>16.8 Appendix VIII Setting up Independent Non-Medical Prescribers on Practice Clinical Systems</w:t>
        </w:r>
        <w:r w:rsidR="00F6469F">
          <w:rPr>
            <w:noProof/>
            <w:webHidden/>
          </w:rPr>
          <w:tab/>
        </w:r>
        <w:r w:rsidR="00F6469F">
          <w:rPr>
            <w:noProof/>
            <w:webHidden/>
          </w:rPr>
          <w:fldChar w:fldCharType="begin"/>
        </w:r>
        <w:r w:rsidR="00F6469F">
          <w:rPr>
            <w:noProof/>
            <w:webHidden/>
          </w:rPr>
          <w:instrText xml:space="preserve"> PAGEREF _Toc46843680 \h </w:instrText>
        </w:r>
        <w:r w:rsidR="00F6469F">
          <w:rPr>
            <w:noProof/>
            <w:webHidden/>
          </w:rPr>
        </w:r>
        <w:r w:rsidR="00F6469F">
          <w:rPr>
            <w:noProof/>
            <w:webHidden/>
          </w:rPr>
          <w:fldChar w:fldCharType="separate"/>
        </w:r>
        <w:r>
          <w:rPr>
            <w:noProof/>
            <w:webHidden/>
          </w:rPr>
          <w:t>31</w:t>
        </w:r>
        <w:r w:rsidR="00F6469F">
          <w:rPr>
            <w:noProof/>
            <w:webHidden/>
          </w:rPr>
          <w:fldChar w:fldCharType="end"/>
        </w:r>
      </w:hyperlink>
    </w:p>
    <w:p w14:paraId="6A15BCB5" w14:textId="4DD8F4FF" w:rsidR="00F6469F" w:rsidRDefault="00CF2869">
      <w:pPr>
        <w:pStyle w:val="TOC2"/>
        <w:tabs>
          <w:tab w:val="right" w:leader="dot" w:pos="9912"/>
        </w:tabs>
        <w:rPr>
          <w:rFonts w:asciiTheme="minorHAnsi" w:eastAsiaTheme="minorEastAsia" w:hAnsiTheme="minorHAnsi" w:cstheme="minorBidi"/>
          <w:i w:val="0"/>
          <w:iCs w:val="0"/>
          <w:noProof/>
          <w:sz w:val="22"/>
          <w:szCs w:val="22"/>
          <w:lang w:eastAsia="en-GB"/>
        </w:rPr>
      </w:pPr>
      <w:hyperlink w:anchor="_Toc46843681" w:history="1">
        <w:r w:rsidR="00F6469F" w:rsidRPr="00F47E38">
          <w:rPr>
            <w:rStyle w:val="Hyperlink"/>
            <w:noProof/>
          </w:rPr>
          <w:t>16.9 Appendix IX Summary of prescriber type and prescribing restrictions</w:t>
        </w:r>
        <w:r w:rsidR="00F6469F">
          <w:rPr>
            <w:noProof/>
            <w:webHidden/>
          </w:rPr>
          <w:tab/>
        </w:r>
        <w:r w:rsidR="00F6469F">
          <w:rPr>
            <w:noProof/>
            <w:webHidden/>
          </w:rPr>
          <w:fldChar w:fldCharType="begin"/>
        </w:r>
        <w:r w:rsidR="00F6469F">
          <w:rPr>
            <w:noProof/>
            <w:webHidden/>
          </w:rPr>
          <w:instrText xml:space="preserve"> PAGEREF _Toc46843681 \h </w:instrText>
        </w:r>
        <w:r w:rsidR="00F6469F">
          <w:rPr>
            <w:noProof/>
            <w:webHidden/>
          </w:rPr>
        </w:r>
        <w:r w:rsidR="00F6469F">
          <w:rPr>
            <w:noProof/>
            <w:webHidden/>
          </w:rPr>
          <w:fldChar w:fldCharType="separate"/>
        </w:r>
        <w:r>
          <w:rPr>
            <w:noProof/>
            <w:webHidden/>
          </w:rPr>
          <w:t>32</w:t>
        </w:r>
        <w:r w:rsidR="00F6469F">
          <w:rPr>
            <w:noProof/>
            <w:webHidden/>
          </w:rPr>
          <w:fldChar w:fldCharType="end"/>
        </w:r>
      </w:hyperlink>
    </w:p>
    <w:p w14:paraId="5EF55FAB" w14:textId="6B7E5BD9" w:rsidR="00F6469F" w:rsidRDefault="00CF2869">
      <w:pPr>
        <w:pStyle w:val="TOC2"/>
        <w:tabs>
          <w:tab w:val="right" w:leader="dot" w:pos="9912"/>
        </w:tabs>
        <w:rPr>
          <w:rFonts w:asciiTheme="minorHAnsi" w:eastAsiaTheme="minorEastAsia" w:hAnsiTheme="minorHAnsi" w:cstheme="minorBidi"/>
          <w:i w:val="0"/>
          <w:iCs w:val="0"/>
          <w:noProof/>
          <w:sz w:val="22"/>
          <w:szCs w:val="22"/>
          <w:lang w:eastAsia="en-GB"/>
        </w:rPr>
      </w:pPr>
      <w:hyperlink w:anchor="_Toc46843682" w:history="1">
        <w:r w:rsidR="00F6469F" w:rsidRPr="00F47E38">
          <w:rPr>
            <w:rStyle w:val="Hyperlink"/>
            <w:noProof/>
            <w:lang w:val="en-US"/>
          </w:rPr>
          <w:t>16.10 Appendix X: References</w:t>
        </w:r>
        <w:r w:rsidR="00F6469F">
          <w:rPr>
            <w:noProof/>
            <w:webHidden/>
          </w:rPr>
          <w:tab/>
        </w:r>
        <w:r w:rsidR="00F6469F">
          <w:rPr>
            <w:noProof/>
            <w:webHidden/>
          </w:rPr>
          <w:fldChar w:fldCharType="begin"/>
        </w:r>
        <w:r w:rsidR="00F6469F">
          <w:rPr>
            <w:noProof/>
            <w:webHidden/>
          </w:rPr>
          <w:instrText xml:space="preserve"> PAGEREF _Toc46843682 \h </w:instrText>
        </w:r>
        <w:r w:rsidR="00F6469F">
          <w:rPr>
            <w:noProof/>
            <w:webHidden/>
          </w:rPr>
        </w:r>
        <w:r w:rsidR="00F6469F">
          <w:rPr>
            <w:noProof/>
            <w:webHidden/>
          </w:rPr>
          <w:fldChar w:fldCharType="separate"/>
        </w:r>
        <w:r>
          <w:rPr>
            <w:noProof/>
            <w:webHidden/>
          </w:rPr>
          <w:t>35</w:t>
        </w:r>
        <w:r w:rsidR="00F6469F">
          <w:rPr>
            <w:noProof/>
            <w:webHidden/>
          </w:rPr>
          <w:fldChar w:fldCharType="end"/>
        </w:r>
      </w:hyperlink>
    </w:p>
    <w:p w14:paraId="0663FCE4" w14:textId="4E97C796" w:rsidR="00F6469F" w:rsidRDefault="00CF2869">
      <w:pPr>
        <w:pStyle w:val="TOC2"/>
        <w:tabs>
          <w:tab w:val="left" w:pos="1100"/>
          <w:tab w:val="right" w:leader="dot" w:pos="9912"/>
        </w:tabs>
        <w:rPr>
          <w:rFonts w:asciiTheme="minorHAnsi" w:eastAsiaTheme="minorEastAsia" w:hAnsiTheme="minorHAnsi" w:cstheme="minorBidi"/>
          <w:i w:val="0"/>
          <w:iCs w:val="0"/>
          <w:noProof/>
          <w:sz w:val="22"/>
          <w:szCs w:val="22"/>
          <w:lang w:eastAsia="en-GB"/>
        </w:rPr>
      </w:pPr>
      <w:hyperlink w:anchor="_Toc46843683" w:history="1">
        <w:r w:rsidR="00F6469F" w:rsidRPr="00F47E38">
          <w:rPr>
            <w:rStyle w:val="Hyperlink"/>
            <w:noProof/>
            <w:lang w:val="en-US"/>
          </w:rPr>
          <w:t>16.11</w:t>
        </w:r>
        <w:r w:rsidR="00F6469F">
          <w:rPr>
            <w:rFonts w:asciiTheme="minorHAnsi" w:eastAsiaTheme="minorEastAsia" w:hAnsiTheme="minorHAnsi" w:cstheme="minorBidi"/>
            <w:i w:val="0"/>
            <w:iCs w:val="0"/>
            <w:noProof/>
            <w:sz w:val="22"/>
            <w:szCs w:val="22"/>
            <w:lang w:eastAsia="en-GB"/>
          </w:rPr>
          <w:tab/>
        </w:r>
        <w:r w:rsidR="00F6469F" w:rsidRPr="00F47E38">
          <w:rPr>
            <w:rStyle w:val="Hyperlink"/>
            <w:noProof/>
            <w:lang w:val="en-US"/>
          </w:rPr>
          <w:t>Appendix XI: Bibliography</w:t>
        </w:r>
        <w:r w:rsidR="00F6469F">
          <w:rPr>
            <w:noProof/>
            <w:webHidden/>
          </w:rPr>
          <w:tab/>
        </w:r>
        <w:r w:rsidR="00F6469F">
          <w:rPr>
            <w:noProof/>
            <w:webHidden/>
          </w:rPr>
          <w:fldChar w:fldCharType="begin"/>
        </w:r>
        <w:r w:rsidR="00F6469F">
          <w:rPr>
            <w:noProof/>
            <w:webHidden/>
          </w:rPr>
          <w:instrText xml:space="preserve"> PAGEREF _Toc46843683 \h </w:instrText>
        </w:r>
        <w:r w:rsidR="00F6469F">
          <w:rPr>
            <w:noProof/>
            <w:webHidden/>
          </w:rPr>
        </w:r>
        <w:r w:rsidR="00F6469F">
          <w:rPr>
            <w:noProof/>
            <w:webHidden/>
          </w:rPr>
          <w:fldChar w:fldCharType="separate"/>
        </w:r>
        <w:r>
          <w:rPr>
            <w:noProof/>
            <w:webHidden/>
          </w:rPr>
          <w:t>37</w:t>
        </w:r>
        <w:r w:rsidR="00F6469F">
          <w:rPr>
            <w:noProof/>
            <w:webHidden/>
          </w:rPr>
          <w:fldChar w:fldCharType="end"/>
        </w:r>
      </w:hyperlink>
    </w:p>
    <w:p w14:paraId="44E95B2B" w14:textId="77777777" w:rsidR="0070797B" w:rsidRDefault="0070797B">
      <w:r>
        <w:rPr>
          <w:b/>
          <w:bCs/>
          <w:noProof/>
        </w:rPr>
        <w:fldChar w:fldCharType="end"/>
      </w:r>
    </w:p>
    <w:p w14:paraId="475B5E22" w14:textId="77777777" w:rsidR="005902C6" w:rsidRDefault="005902C6" w:rsidP="005902C6">
      <w:pPr>
        <w:pStyle w:val="Heading1"/>
        <w:tabs>
          <w:tab w:val="left" w:pos="980"/>
        </w:tabs>
        <w:jc w:val="left"/>
        <w:rPr>
          <w:color w:val="000000"/>
        </w:rPr>
      </w:pPr>
      <w:r>
        <w:rPr>
          <w:color w:val="000000"/>
        </w:rPr>
        <w:tab/>
      </w:r>
    </w:p>
    <w:p w14:paraId="17370C34" w14:textId="77777777" w:rsidR="00567C04" w:rsidRDefault="00567C04" w:rsidP="00567C04">
      <w:pPr>
        <w:pStyle w:val="Heading1"/>
        <w:tabs>
          <w:tab w:val="left" w:pos="2810"/>
        </w:tabs>
        <w:jc w:val="left"/>
        <w:rPr>
          <w:color w:val="000000"/>
        </w:rPr>
      </w:pPr>
      <w:r>
        <w:rPr>
          <w:color w:val="000000"/>
        </w:rPr>
        <w:tab/>
      </w:r>
    </w:p>
    <w:p w14:paraId="35DBF62A" w14:textId="77777777" w:rsidR="00B313EA" w:rsidRPr="005902C6" w:rsidRDefault="00CC2369" w:rsidP="00CC2369">
      <w:pPr>
        <w:pStyle w:val="Heading1"/>
        <w:jc w:val="left"/>
        <w:rPr>
          <w:color w:val="2F5496"/>
        </w:rPr>
      </w:pPr>
      <w:r w:rsidRPr="00567C04">
        <w:br w:type="page"/>
      </w:r>
      <w:bookmarkStart w:id="1" w:name="_Toc46843638"/>
      <w:r w:rsidRPr="005902C6">
        <w:rPr>
          <w:color w:val="2F5496"/>
        </w:rPr>
        <w:lastRenderedPageBreak/>
        <w:t xml:space="preserve">1.0 </w:t>
      </w:r>
      <w:r w:rsidR="00B313EA" w:rsidRPr="005902C6">
        <w:rPr>
          <w:color w:val="2F5496"/>
        </w:rPr>
        <w:t>Policy Statement</w:t>
      </w:r>
      <w:bookmarkEnd w:id="1"/>
    </w:p>
    <w:p w14:paraId="527F89D7" w14:textId="77777777" w:rsidR="00B313EA" w:rsidRDefault="00B313EA" w:rsidP="00B313EA">
      <w:pPr>
        <w:spacing w:before="0" w:after="40" w:line="259" w:lineRule="auto"/>
        <w:rPr>
          <w:rFonts w:cs="Arial"/>
        </w:rPr>
      </w:pPr>
      <w:r w:rsidRPr="00B313EA">
        <w:rPr>
          <w:rFonts w:cs="Arial"/>
        </w:rPr>
        <w:t>This policy has been developed to ensure that all prescribing undertaken by Non-Medical Prescribers (NMPs) is managed and governed via a robust process in General Practice, other primary and community care settings to ensure the following:</w:t>
      </w:r>
    </w:p>
    <w:p w14:paraId="01D7DC1E" w14:textId="77777777" w:rsidR="00B313EA" w:rsidRDefault="00B313EA" w:rsidP="00B313EA">
      <w:pPr>
        <w:spacing w:before="0" w:after="40" w:line="259" w:lineRule="auto"/>
        <w:rPr>
          <w:rFonts w:cs="Arial"/>
        </w:rPr>
      </w:pPr>
    </w:p>
    <w:p w14:paraId="51242AA9" w14:textId="77777777" w:rsidR="00B313EA" w:rsidRDefault="00B313EA" w:rsidP="004A15C9">
      <w:pPr>
        <w:numPr>
          <w:ilvl w:val="0"/>
          <w:numId w:val="3"/>
        </w:numPr>
        <w:spacing w:before="0" w:after="40" w:line="259" w:lineRule="auto"/>
        <w:rPr>
          <w:rFonts w:cs="Arial"/>
        </w:rPr>
      </w:pPr>
      <w:r w:rsidRPr="00B313EA">
        <w:rPr>
          <w:rFonts w:cs="Arial"/>
        </w:rPr>
        <w:t>Professional and statutory obligations are met</w:t>
      </w:r>
    </w:p>
    <w:p w14:paraId="73858556" w14:textId="77777777" w:rsidR="00B313EA" w:rsidRDefault="00B313EA" w:rsidP="004A15C9">
      <w:pPr>
        <w:numPr>
          <w:ilvl w:val="0"/>
          <w:numId w:val="3"/>
        </w:numPr>
        <w:spacing w:before="0" w:after="40" w:line="259" w:lineRule="auto"/>
        <w:rPr>
          <w:rFonts w:cs="Arial"/>
        </w:rPr>
      </w:pPr>
      <w:r w:rsidRPr="00B313EA">
        <w:rPr>
          <w:rFonts w:cs="Arial"/>
        </w:rPr>
        <w:t>Prescribing benefits patient care by improving access to medicines</w:t>
      </w:r>
    </w:p>
    <w:p w14:paraId="64593352" w14:textId="77777777" w:rsidR="00B313EA" w:rsidRDefault="00B313EA" w:rsidP="004A15C9">
      <w:pPr>
        <w:numPr>
          <w:ilvl w:val="0"/>
          <w:numId w:val="3"/>
        </w:numPr>
        <w:spacing w:before="0" w:after="40" w:line="259" w:lineRule="auto"/>
        <w:rPr>
          <w:rFonts w:cs="Arial"/>
        </w:rPr>
      </w:pPr>
      <w:r w:rsidRPr="00B313EA">
        <w:rPr>
          <w:rFonts w:cs="Arial"/>
        </w:rPr>
        <w:t>Effective standards are in place for non-medical prescribing</w:t>
      </w:r>
    </w:p>
    <w:p w14:paraId="4D12AD06" w14:textId="77777777" w:rsidR="00B313EA" w:rsidRDefault="00B313EA" w:rsidP="004A15C9">
      <w:pPr>
        <w:numPr>
          <w:ilvl w:val="0"/>
          <w:numId w:val="3"/>
        </w:numPr>
        <w:spacing w:before="0" w:after="40" w:line="259" w:lineRule="auto"/>
        <w:rPr>
          <w:rFonts w:cs="Arial"/>
        </w:rPr>
      </w:pPr>
      <w:r w:rsidRPr="00B313EA">
        <w:rPr>
          <w:rFonts w:cs="Arial"/>
        </w:rPr>
        <w:t>Clarification on accountability and responsibility</w:t>
      </w:r>
    </w:p>
    <w:p w14:paraId="6084B005" w14:textId="77777777" w:rsidR="00B313EA" w:rsidRDefault="00B313EA" w:rsidP="004A15C9">
      <w:pPr>
        <w:numPr>
          <w:ilvl w:val="0"/>
          <w:numId w:val="3"/>
        </w:numPr>
        <w:spacing w:before="0" w:after="40" w:line="259" w:lineRule="auto"/>
        <w:rPr>
          <w:rFonts w:cs="Arial"/>
        </w:rPr>
      </w:pPr>
      <w:r w:rsidRPr="00B313EA">
        <w:rPr>
          <w:rFonts w:cs="Arial"/>
        </w:rPr>
        <w:t>Clear guidance is available to support Non-Medical Prescribers (NMPs) to prescribe safely, efficiently, cost effectively and within their area of competence</w:t>
      </w:r>
    </w:p>
    <w:p w14:paraId="5D619EC9" w14:textId="77777777" w:rsidR="00B313EA" w:rsidRDefault="00B313EA" w:rsidP="004A15C9">
      <w:pPr>
        <w:numPr>
          <w:ilvl w:val="0"/>
          <w:numId w:val="3"/>
        </w:numPr>
        <w:spacing w:before="0" w:after="40" w:line="259" w:lineRule="auto"/>
        <w:rPr>
          <w:rFonts w:cs="Arial"/>
        </w:rPr>
      </w:pPr>
      <w:r w:rsidRPr="00B313EA">
        <w:rPr>
          <w:rFonts w:cs="Arial"/>
        </w:rPr>
        <w:t>Ensure that all NMPs are supported to prescribe within an agreed framework that is consistent across Waltham Forest and East London (</w:t>
      </w:r>
      <w:r w:rsidR="003B723E">
        <w:rPr>
          <w:rFonts w:cs="Arial"/>
        </w:rPr>
        <w:t>TNW</w:t>
      </w:r>
      <w:r w:rsidRPr="00B313EA">
        <w:rPr>
          <w:rFonts w:cs="Arial"/>
        </w:rPr>
        <w:t xml:space="preserve">) </w:t>
      </w:r>
    </w:p>
    <w:p w14:paraId="05155F3D" w14:textId="77777777" w:rsidR="002147CE" w:rsidRDefault="00B313EA" w:rsidP="004A15C9">
      <w:pPr>
        <w:numPr>
          <w:ilvl w:val="0"/>
          <w:numId w:val="3"/>
        </w:numPr>
        <w:spacing w:before="0" w:after="40" w:line="259" w:lineRule="auto"/>
        <w:rPr>
          <w:rFonts w:cs="Arial"/>
        </w:rPr>
      </w:pPr>
      <w:r w:rsidRPr="00B313EA">
        <w:rPr>
          <w:rFonts w:cs="Arial"/>
        </w:rPr>
        <w:t xml:space="preserve">New prescribers are appropriately qualified for their role, work within the agreed national and local policies, and are identified in </w:t>
      </w:r>
      <w:r w:rsidR="003B723E">
        <w:rPr>
          <w:rFonts w:cs="Arial"/>
        </w:rPr>
        <w:t>TNW</w:t>
      </w:r>
      <w:r w:rsidRPr="00B313EA">
        <w:rPr>
          <w:rFonts w:cs="Arial"/>
        </w:rPr>
        <w:t xml:space="preserve"> so that they can be kept up to date on prescribing issues both locally and nationally.</w:t>
      </w:r>
    </w:p>
    <w:p w14:paraId="1FF34EF3" w14:textId="77777777" w:rsidR="00222DC3" w:rsidRDefault="00222DC3" w:rsidP="00222DC3">
      <w:pPr>
        <w:spacing w:before="0" w:after="40" w:line="259" w:lineRule="auto"/>
        <w:ind w:left="720"/>
        <w:rPr>
          <w:rFonts w:cs="Arial"/>
        </w:rPr>
      </w:pPr>
    </w:p>
    <w:p w14:paraId="54288510" w14:textId="77777777" w:rsidR="00222DC3" w:rsidRPr="00D045E6" w:rsidRDefault="00C812C7" w:rsidP="00B313EA">
      <w:pPr>
        <w:spacing w:before="0" w:after="40" w:line="259" w:lineRule="auto"/>
        <w:rPr>
          <w:rFonts w:cs="Arial"/>
        </w:rPr>
      </w:pPr>
      <w:r w:rsidRPr="00D045E6">
        <w:rPr>
          <w:rFonts w:cs="Arial"/>
        </w:rPr>
        <w:t xml:space="preserve">The employing </w:t>
      </w:r>
      <w:r w:rsidR="00222DC3" w:rsidRPr="00D045E6">
        <w:rPr>
          <w:rFonts w:cs="Arial"/>
        </w:rPr>
        <w:t>organisation (</w:t>
      </w:r>
      <w:r w:rsidRPr="00D045E6">
        <w:rPr>
          <w:rFonts w:cs="Arial"/>
        </w:rPr>
        <w:t>e.g.</w:t>
      </w:r>
      <w:r w:rsidR="00222DC3" w:rsidRPr="00D045E6">
        <w:rPr>
          <w:rFonts w:cs="Arial"/>
        </w:rPr>
        <w:t xml:space="preserve"> G</w:t>
      </w:r>
      <w:r w:rsidRPr="00D045E6">
        <w:rPr>
          <w:rFonts w:cs="Arial"/>
        </w:rPr>
        <w:t xml:space="preserve">eneral Practice, </w:t>
      </w:r>
      <w:r w:rsidR="00222DC3" w:rsidRPr="00D045E6">
        <w:rPr>
          <w:rFonts w:cs="Arial"/>
        </w:rPr>
        <w:t>Primary Care Network, GP F</w:t>
      </w:r>
      <w:r w:rsidRPr="00D045E6">
        <w:rPr>
          <w:rFonts w:cs="Arial"/>
        </w:rPr>
        <w:t>ederation) is responsible</w:t>
      </w:r>
      <w:r w:rsidR="00222DC3" w:rsidRPr="00D045E6">
        <w:rPr>
          <w:rFonts w:cs="Arial"/>
        </w:rPr>
        <w:t xml:space="preserve"> for </w:t>
      </w:r>
      <w:r w:rsidR="00021CBD" w:rsidRPr="00D045E6">
        <w:rPr>
          <w:rFonts w:cs="Arial"/>
        </w:rPr>
        <w:t xml:space="preserve">the </w:t>
      </w:r>
      <w:r w:rsidR="00222DC3" w:rsidRPr="00D045E6">
        <w:rPr>
          <w:rFonts w:cs="Arial"/>
        </w:rPr>
        <w:t>management and governance of non-medical prescribers they employ. Section 3</w:t>
      </w:r>
      <w:r w:rsidR="00021CBD" w:rsidRPr="00D045E6">
        <w:rPr>
          <w:rFonts w:cs="Arial"/>
        </w:rPr>
        <w:t xml:space="preserve"> </w:t>
      </w:r>
      <w:r w:rsidR="00222DC3" w:rsidRPr="00D045E6">
        <w:rPr>
          <w:rFonts w:cs="Arial"/>
        </w:rPr>
        <w:t xml:space="preserve">provides </w:t>
      </w:r>
      <w:r w:rsidRPr="00D045E6">
        <w:rPr>
          <w:rFonts w:cs="Arial"/>
        </w:rPr>
        <w:t xml:space="preserve">an overview of the responsibilities, duties and accountabilities of both the </w:t>
      </w:r>
      <w:r w:rsidR="00222DC3" w:rsidRPr="00D045E6">
        <w:rPr>
          <w:rFonts w:cs="Arial"/>
        </w:rPr>
        <w:t xml:space="preserve">employing organisation and </w:t>
      </w:r>
      <w:r w:rsidRPr="00D045E6">
        <w:rPr>
          <w:rFonts w:cs="Arial"/>
        </w:rPr>
        <w:t>individual prescriber</w:t>
      </w:r>
      <w:r w:rsidR="00222DC3" w:rsidRPr="00D045E6">
        <w:rPr>
          <w:rFonts w:cs="Arial"/>
        </w:rPr>
        <w:t>.</w:t>
      </w:r>
    </w:p>
    <w:p w14:paraId="318586E9" w14:textId="77777777" w:rsidR="00C812C7" w:rsidRPr="00D045E6" w:rsidRDefault="00C812C7" w:rsidP="00B313EA">
      <w:pPr>
        <w:spacing w:before="0" w:after="40" w:line="259" w:lineRule="auto"/>
        <w:rPr>
          <w:rFonts w:cs="Arial"/>
        </w:rPr>
      </w:pPr>
      <w:r w:rsidRPr="00D045E6">
        <w:rPr>
          <w:rFonts w:cs="Arial"/>
        </w:rPr>
        <w:t xml:space="preserve"> </w:t>
      </w:r>
    </w:p>
    <w:p w14:paraId="6A957926" w14:textId="77777777" w:rsidR="00B313EA" w:rsidRPr="00D045E6" w:rsidRDefault="00C812C7" w:rsidP="00B313EA">
      <w:pPr>
        <w:spacing w:before="0" w:after="40" w:line="259" w:lineRule="auto"/>
        <w:rPr>
          <w:rFonts w:cs="Arial"/>
        </w:rPr>
      </w:pPr>
      <w:r w:rsidRPr="00D045E6">
        <w:rPr>
          <w:rFonts w:cs="Arial"/>
        </w:rPr>
        <w:t>Registration of non-medical prescribers by the Medicines Optimisation Te</w:t>
      </w:r>
      <w:r w:rsidR="00222DC3" w:rsidRPr="00D045E6">
        <w:rPr>
          <w:rFonts w:cs="Arial"/>
        </w:rPr>
        <w:t>am (MOT) with the NHS Business S</w:t>
      </w:r>
      <w:r w:rsidRPr="00D045E6">
        <w:rPr>
          <w:rFonts w:cs="Arial"/>
        </w:rPr>
        <w:t>ervices Authority</w:t>
      </w:r>
      <w:r w:rsidR="00021CBD" w:rsidRPr="00D045E6">
        <w:rPr>
          <w:rFonts w:cs="Arial"/>
        </w:rPr>
        <w:t xml:space="preserve"> (NHS BSA)</w:t>
      </w:r>
      <w:r w:rsidRPr="00D045E6">
        <w:rPr>
          <w:rFonts w:cs="Arial"/>
        </w:rPr>
        <w:t xml:space="preserve"> is contingent on submission of all required documentation outlined in this policy.</w:t>
      </w:r>
    </w:p>
    <w:p w14:paraId="0355A536" w14:textId="77777777" w:rsidR="00B313EA" w:rsidRPr="005902C6" w:rsidRDefault="00B313EA" w:rsidP="004A15C9">
      <w:pPr>
        <w:pStyle w:val="Heading2"/>
        <w:numPr>
          <w:ilvl w:val="1"/>
          <w:numId w:val="35"/>
        </w:numPr>
        <w:ind w:left="567"/>
        <w:jc w:val="left"/>
        <w:rPr>
          <w:color w:val="2F5496"/>
        </w:rPr>
      </w:pPr>
      <w:bookmarkStart w:id="2" w:name="_Toc46843639"/>
      <w:r w:rsidRPr="00D045E6">
        <w:rPr>
          <w:color w:val="2F5496"/>
        </w:rPr>
        <w:t>General Principles that</w:t>
      </w:r>
      <w:r w:rsidRPr="005902C6">
        <w:rPr>
          <w:color w:val="2F5496"/>
        </w:rPr>
        <w:t xml:space="preserve"> underpin Non-Medical Prescribing</w:t>
      </w:r>
      <w:bookmarkEnd w:id="2"/>
    </w:p>
    <w:p w14:paraId="07AFCC82" w14:textId="77777777" w:rsidR="00B313EA" w:rsidRDefault="00B313EA" w:rsidP="004A15C9">
      <w:pPr>
        <w:numPr>
          <w:ilvl w:val="0"/>
          <w:numId w:val="4"/>
        </w:numPr>
        <w:spacing w:before="0" w:after="40" w:line="259" w:lineRule="auto"/>
        <w:rPr>
          <w:rFonts w:cs="Arial"/>
        </w:rPr>
      </w:pPr>
      <w:r w:rsidRPr="00B313EA">
        <w:rPr>
          <w:rFonts w:cs="Arial"/>
        </w:rPr>
        <w:t xml:space="preserve">Improve patient care without compromising patient safety </w:t>
      </w:r>
    </w:p>
    <w:p w14:paraId="7E453A11" w14:textId="77777777" w:rsidR="00B313EA" w:rsidRDefault="00B313EA" w:rsidP="004A15C9">
      <w:pPr>
        <w:numPr>
          <w:ilvl w:val="0"/>
          <w:numId w:val="4"/>
        </w:numPr>
        <w:spacing w:before="0" w:after="40" w:line="259" w:lineRule="auto"/>
        <w:rPr>
          <w:rFonts w:cs="Arial"/>
        </w:rPr>
      </w:pPr>
      <w:r w:rsidRPr="00B313EA">
        <w:rPr>
          <w:rFonts w:cs="Arial"/>
        </w:rPr>
        <w:t xml:space="preserve">Make it easier for patients to access the medicines they need </w:t>
      </w:r>
    </w:p>
    <w:p w14:paraId="40D189C6" w14:textId="77777777" w:rsidR="00B313EA" w:rsidRPr="00D045E6" w:rsidRDefault="00B313EA" w:rsidP="004A15C9">
      <w:pPr>
        <w:numPr>
          <w:ilvl w:val="0"/>
          <w:numId w:val="4"/>
        </w:numPr>
        <w:spacing w:before="0" w:after="40" w:line="259" w:lineRule="auto"/>
        <w:rPr>
          <w:rFonts w:cs="Arial"/>
        </w:rPr>
      </w:pPr>
      <w:r w:rsidRPr="00D045E6">
        <w:rPr>
          <w:rFonts w:cs="Arial"/>
        </w:rPr>
        <w:t>Increase patient access</w:t>
      </w:r>
      <w:r w:rsidR="00222DC3" w:rsidRPr="00D045E6">
        <w:rPr>
          <w:rFonts w:cs="Arial"/>
        </w:rPr>
        <w:t xml:space="preserve"> to</w:t>
      </w:r>
      <w:r w:rsidRPr="00D045E6">
        <w:rPr>
          <w:rFonts w:cs="Arial"/>
        </w:rPr>
        <w:t xml:space="preserve"> medicines </w:t>
      </w:r>
    </w:p>
    <w:p w14:paraId="419F447A" w14:textId="77777777" w:rsidR="00B313EA" w:rsidRDefault="00B313EA" w:rsidP="004A15C9">
      <w:pPr>
        <w:numPr>
          <w:ilvl w:val="0"/>
          <w:numId w:val="4"/>
        </w:numPr>
        <w:spacing w:before="0" w:after="40" w:line="259" w:lineRule="auto"/>
        <w:rPr>
          <w:rFonts w:cs="Arial"/>
        </w:rPr>
      </w:pPr>
      <w:r w:rsidRPr="00B313EA">
        <w:rPr>
          <w:rFonts w:cs="Arial"/>
        </w:rPr>
        <w:t xml:space="preserve">Make better use of the skills of health care professionals </w:t>
      </w:r>
    </w:p>
    <w:p w14:paraId="1612C41B" w14:textId="77777777" w:rsidR="00B313EA" w:rsidRDefault="00B313EA" w:rsidP="004A15C9">
      <w:pPr>
        <w:numPr>
          <w:ilvl w:val="0"/>
          <w:numId w:val="4"/>
        </w:numPr>
        <w:spacing w:before="0" w:after="40" w:line="259" w:lineRule="auto"/>
        <w:rPr>
          <w:rFonts w:cs="Arial"/>
        </w:rPr>
      </w:pPr>
      <w:r w:rsidRPr="00B313EA">
        <w:rPr>
          <w:rFonts w:cs="Arial"/>
        </w:rPr>
        <w:t>Contribute to the introduction of more flexible teams working within GP practices or commissioned services.</w:t>
      </w:r>
    </w:p>
    <w:p w14:paraId="68F9F3BB" w14:textId="77777777" w:rsidR="00B313EA" w:rsidRDefault="00B313EA" w:rsidP="00B313EA">
      <w:pPr>
        <w:spacing w:before="0" w:after="40" w:line="259" w:lineRule="auto"/>
        <w:rPr>
          <w:rFonts w:cs="Arial"/>
        </w:rPr>
      </w:pPr>
    </w:p>
    <w:p w14:paraId="5808486A" w14:textId="77777777" w:rsidR="00B313EA" w:rsidRPr="005902C6" w:rsidRDefault="005D07F7" w:rsidP="005902C6">
      <w:pPr>
        <w:pStyle w:val="Heading2"/>
        <w:jc w:val="left"/>
        <w:rPr>
          <w:color w:val="2F5496"/>
        </w:rPr>
      </w:pPr>
      <w:bookmarkStart w:id="3" w:name="_Toc46843640"/>
      <w:r>
        <w:rPr>
          <w:color w:val="2F5496"/>
        </w:rPr>
        <w:t>1.2</w:t>
      </w:r>
      <w:r w:rsidR="00B313EA" w:rsidRPr="005902C6">
        <w:rPr>
          <w:color w:val="2F5496"/>
        </w:rPr>
        <w:tab/>
        <w:t>Scope of this policy</w:t>
      </w:r>
      <w:bookmarkEnd w:id="3"/>
    </w:p>
    <w:p w14:paraId="50CEF189" w14:textId="77777777" w:rsidR="00B313EA" w:rsidRDefault="00B313EA" w:rsidP="00B313EA">
      <w:pPr>
        <w:spacing w:before="0" w:after="40" w:line="259" w:lineRule="auto"/>
        <w:rPr>
          <w:rFonts w:cs="Arial"/>
        </w:rPr>
      </w:pPr>
      <w:r w:rsidRPr="00B313EA">
        <w:rPr>
          <w:rFonts w:cs="Arial"/>
        </w:rPr>
        <w:t xml:space="preserve">This policy applies to all registered non-medical prescribers (nurses, pharmacists, physiotherapists, paramedics) employed by a GP practice or other health care providers linked to </w:t>
      </w:r>
      <w:r w:rsidR="00607E10" w:rsidRPr="00B313EA">
        <w:rPr>
          <w:rFonts w:cs="Arial"/>
        </w:rPr>
        <w:t>the Tower</w:t>
      </w:r>
      <w:r w:rsidR="003B723E">
        <w:rPr>
          <w:rFonts w:cs="Arial"/>
        </w:rPr>
        <w:t xml:space="preserve"> Hamlets, Newham and Waltham Forest</w:t>
      </w:r>
      <w:r w:rsidRPr="00B313EA">
        <w:rPr>
          <w:rFonts w:cs="Arial"/>
        </w:rPr>
        <w:t xml:space="preserve"> </w:t>
      </w:r>
      <w:r w:rsidR="003B723E">
        <w:rPr>
          <w:rFonts w:cs="Arial"/>
        </w:rPr>
        <w:t>(TNW)</w:t>
      </w:r>
      <w:r w:rsidRPr="00B313EA">
        <w:rPr>
          <w:rFonts w:cs="Arial"/>
        </w:rPr>
        <w:t xml:space="preserve"> prescribing budget(s), who, in accordance with their job descriptions, undertake prescribing as part of their role.</w:t>
      </w:r>
    </w:p>
    <w:p w14:paraId="2E14E53E" w14:textId="77777777" w:rsidR="00970896" w:rsidRDefault="00970896" w:rsidP="00B313EA">
      <w:pPr>
        <w:spacing w:before="0" w:after="40" w:line="259" w:lineRule="auto"/>
        <w:rPr>
          <w:rFonts w:cs="Arial"/>
        </w:rPr>
      </w:pPr>
    </w:p>
    <w:p w14:paraId="72AB5882" w14:textId="77777777" w:rsidR="00970896" w:rsidRPr="005902C6" w:rsidRDefault="00970896" w:rsidP="005902C6">
      <w:pPr>
        <w:pStyle w:val="Heading2"/>
        <w:jc w:val="left"/>
        <w:rPr>
          <w:color w:val="2F5496"/>
        </w:rPr>
      </w:pPr>
      <w:bookmarkStart w:id="4" w:name="_Toc46843641"/>
      <w:r w:rsidRPr="005902C6">
        <w:rPr>
          <w:color w:val="2F5496"/>
        </w:rPr>
        <w:t>1.3</w:t>
      </w:r>
      <w:r w:rsidRPr="005902C6">
        <w:rPr>
          <w:color w:val="2F5496"/>
        </w:rPr>
        <w:tab/>
        <w:t>Aim of the policy</w:t>
      </w:r>
      <w:bookmarkEnd w:id="4"/>
    </w:p>
    <w:p w14:paraId="326F5D07" w14:textId="77777777" w:rsidR="00970896" w:rsidRDefault="00970896" w:rsidP="00970896">
      <w:pPr>
        <w:spacing w:before="0" w:after="40" w:line="259" w:lineRule="auto"/>
        <w:rPr>
          <w:rFonts w:cs="Arial"/>
        </w:rPr>
      </w:pPr>
      <w:r w:rsidRPr="00970896">
        <w:rPr>
          <w:rFonts w:cs="Arial"/>
        </w:rPr>
        <w:t xml:space="preserve">The aim of this policy is to promote legal, safe and effective non-medical prescribing and to support the development and implementation of non-medical prescribing across </w:t>
      </w:r>
      <w:r w:rsidR="003B723E">
        <w:rPr>
          <w:rFonts w:cs="Arial"/>
        </w:rPr>
        <w:t>TNW</w:t>
      </w:r>
    </w:p>
    <w:p w14:paraId="75509B4C" w14:textId="77777777" w:rsidR="00970896" w:rsidRPr="00970896" w:rsidRDefault="00970896" w:rsidP="00970896">
      <w:pPr>
        <w:spacing w:before="0" w:after="40" w:line="259" w:lineRule="auto"/>
        <w:rPr>
          <w:rFonts w:cs="Arial"/>
        </w:rPr>
      </w:pPr>
    </w:p>
    <w:p w14:paraId="3062B6EF" w14:textId="77777777" w:rsidR="00970896" w:rsidRDefault="00970896" w:rsidP="00970896">
      <w:pPr>
        <w:spacing w:before="0" w:after="40" w:line="259" w:lineRule="auto"/>
        <w:rPr>
          <w:rFonts w:cs="Arial"/>
        </w:rPr>
      </w:pPr>
      <w:r w:rsidRPr="00970896">
        <w:rPr>
          <w:rFonts w:cs="Arial"/>
        </w:rPr>
        <w:lastRenderedPageBreak/>
        <w:t>This policy should be read in conjunction with relevant professional guidance and other local policies available on the Medicines Optimisation Portals (see links be</w:t>
      </w:r>
      <w:r>
        <w:rPr>
          <w:rFonts w:cs="Arial"/>
        </w:rPr>
        <w:t>low):</w:t>
      </w:r>
    </w:p>
    <w:p w14:paraId="5610C045" w14:textId="77777777" w:rsidR="00970896" w:rsidRPr="00970896" w:rsidRDefault="00970896" w:rsidP="004A15C9">
      <w:pPr>
        <w:numPr>
          <w:ilvl w:val="0"/>
          <w:numId w:val="5"/>
        </w:numPr>
        <w:spacing w:before="0" w:after="40" w:line="259" w:lineRule="auto"/>
        <w:jc w:val="left"/>
        <w:rPr>
          <w:rFonts w:cs="Arial"/>
        </w:rPr>
      </w:pPr>
      <w:r w:rsidRPr="00970896">
        <w:rPr>
          <w:rFonts w:cs="Arial"/>
        </w:rPr>
        <w:t xml:space="preserve">Newham: </w:t>
      </w:r>
      <w:hyperlink r:id="rId15" w:history="1">
        <w:r w:rsidR="00021CBD" w:rsidRPr="00BB23E1">
          <w:rPr>
            <w:rStyle w:val="Hyperlink"/>
            <w:rFonts w:cs="Arial"/>
          </w:rPr>
          <w:t>http://nww.newhamccg.nhs.uk/clinical/medicinesmanagement/Pages/default.aspx</w:t>
        </w:r>
      </w:hyperlink>
      <w:r>
        <w:rPr>
          <w:rFonts w:cs="Arial"/>
        </w:rPr>
        <w:t xml:space="preserve"> </w:t>
      </w:r>
    </w:p>
    <w:p w14:paraId="5BAD01EA" w14:textId="77777777" w:rsidR="00970896" w:rsidRPr="00970896" w:rsidRDefault="00970896" w:rsidP="004A15C9">
      <w:pPr>
        <w:numPr>
          <w:ilvl w:val="0"/>
          <w:numId w:val="5"/>
        </w:numPr>
        <w:spacing w:before="0" w:after="40" w:line="259" w:lineRule="auto"/>
        <w:jc w:val="left"/>
        <w:rPr>
          <w:rFonts w:cs="Arial"/>
        </w:rPr>
      </w:pPr>
      <w:r w:rsidRPr="00970896">
        <w:rPr>
          <w:rFonts w:cs="Arial"/>
        </w:rPr>
        <w:t xml:space="preserve">Tower Hamlets: </w:t>
      </w:r>
      <w:hyperlink r:id="rId16" w:history="1">
        <w:r w:rsidRPr="00573098">
          <w:rPr>
            <w:rStyle w:val="Hyperlink"/>
            <w:rFonts w:cs="Arial"/>
          </w:rPr>
          <w:t>http://thccgintranet/Prescribing/Pages/default.aspx</w:t>
        </w:r>
      </w:hyperlink>
      <w:r>
        <w:rPr>
          <w:rFonts w:cs="Arial"/>
        </w:rPr>
        <w:t xml:space="preserve"> </w:t>
      </w:r>
    </w:p>
    <w:p w14:paraId="172F4899" w14:textId="77777777" w:rsidR="00970896" w:rsidRPr="00B313EA" w:rsidRDefault="00970896" w:rsidP="004A15C9">
      <w:pPr>
        <w:numPr>
          <w:ilvl w:val="0"/>
          <w:numId w:val="5"/>
        </w:numPr>
        <w:spacing w:before="0" w:after="40" w:line="259" w:lineRule="auto"/>
        <w:jc w:val="left"/>
        <w:rPr>
          <w:rFonts w:cs="Arial"/>
        </w:rPr>
      </w:pPr>
      <w:r w:rsidRPr="00970896">
        <w:rPr>
          <w:rFonts w:cs="Arial"/>
        </w:rPr>
        <w:t xml:space="preserve">Waltham Forest: </w:t>
      </w:r>
      <w:hyperlink r:id="rId17" w:history="1">
        <w:r w:rsidRPr="00573098">
          <w:rPr>
            <w:rStyle w:val="Hyperlink"/>
            <w:rFonts w:cs="Arial"/>
          </w:rPr>
          <w:t>https://gp.walthamforestccg.nhs.uk/management/medicines/</w:t>
        </w:r>
      </w:hyperlink>
      <w:r>
        <w:rPr>
          <w:rFonts w:cs="Arial"/>
        </w:rPr>
        <w:t xml:space="preserve"> </w:t>
      </w:r>
    </w:p>
    <w:p w14:paraId="0C00E037" w14:textId="77777777" w:rsidR="00830B31" w:rsidRDefault="00830B31" w:rsidP="00E60C38">
      <w:pPr>
        <w:spacing w:before="0" w:after="40" w:line="259" w:lineRule="auto"/>
        <w:jc w:val="left"/>
        <w:rPr>
          <w:rFonts w:cs="Arial"/>
        </w:rPr>
      </w:pPr>
    </w:p>
    <w:p w14:paraId="18A64E29" w14:textId="77777777" w:rsidR="00E76243" w:rsidRPr="0070797B" w:rsidRDefault="005D07F7" w:rsidP="0070797B">
      <w:pPr>
        <w:pStyle w:val="Heading1"/>
        <w:jc w:val="left"/>
        <w:rPr>
          <w:color w:val="2F5496"/>
        </w:rPr>
      </w:pPr>
      <w:bookmarkStart w:id="5" w:name="_Toc46843642"/>
      <w:r>
        <w:rPr>
          <w:color w:val="2F5496"/>
        </w:rPr>
        <w:t>2.0</w:t>
      </w:r>
      <w:r w:rsidR="0070797B" w:rsidRPr="0070797B">
        <w:rPr>
          <w:color w:val="2F5496"/>
        </w:rPr>
        <w:t xml:space="preserve"> </w:t>
      </w:r>
      <w:r w:rsidR="00E76243" w:rsidRPr="0070797B">
        <w:rPr>
          <w:color w:val="2F5496"/>
        </w:rPr>
        <w:t>Introduction – The development of non-medical prescribing</w:t>
      </w:r>
      <w:bookmarkEnd w:id="5"/>
      <w:r w:rsidR="00E76243" w:rsidRPr="0070797B">
        <w:rPr>
          <w:color w:val="2F5496"/>
        </w:rPr>
        <w:t xml:space="preserve"> </w:t>
      </w:r>
    </w:p>
    <w:p w14:paraId="3F114CDE" w14:textId="77777777" w:rsidR="00E76243" w:rsidRPr="00E76243" w:rsidRDefault="00E76243" w:rsidP="00E76243">
      <w:pPr>
        <w:spacing w:before="0" w:after="40" w:line="259" w:lineRule="auto"/>
        <w:rPr>
          <w:rFonts w:cs="Arial"/>
        </w:rPr>
      </w:pPr>
      <w:r w:rsidRPr="00E76243">
        <w:rPr>
          <w:rFonts w:cs="Arial"/>
        </w:rPr>
        <w:t>Since 2006, there have been changes to regulations, enabling a range of non-medical healthcare professionals to prescribe medicines for patients as either Independent or Supplementary Prescribers.</w:t>
      </w:r>
    </w:p>
    <w:p w14:paraId="15BEAF8D" w14:textId="77777777" w:rsidR="00E76243" w:rsidRDefault="00E76243" w:rsidP="00E76243">
      <w:pPr>
        <w:spacing w:before="0" w:after="40" w:line="259" w:lineRule="auto"/>
        <w:rPr>
          <w:rFonts w:cs="Arial"/>
        </w:rPr>
      </w:pPr>
    </w:p>
    <w:p w14:paraId="4F6171F7" w14:textId="77777777" w:rsidR="00E76243" w:rsidRPr="00E76243" w:rsidRDefault="00E76243" w:rsidP="00E76243">
      <w:pPr>
        <w:spacing w:before="0" w:after="40" w:line="259" w:lineRule="auto"/>
        <w:rPr>
          <w:rFonts w:cs="Arial"/>
        </w:rPr>
      </w:pPr>
      <w:r w:rsidRPr="00E76243">
        <w:rPr>
          <w:rFonts w:cs="Arial"/>
        </w:rPr>
        <w:t xml:space="preserve">Legislation provides the framework which defines the mechanisms available to train and assess the relevant professionals to become non-medical prescribers. The professionals who successfully complete a prescribing programme will qualify as either a supplementary or independent prescriber or both depending on what the regulations permit. They will need to be annotated as such on their professional register before they are able to prescribe in practice. </w:t>
      </w:r>
    </w:p>
    <w:p w14:paraId="685DDDFB" w14:textId="77777777" w:rsidR="00E76243" w:rsidRDefault="00E76243" w:rsidP="00E76243">
      <w:pPr>
        <w:spacing w:before="0" w:after="40" w:line="259" w:lineRule="auto"/>
        <w:rPr>
          <w:rFonts w:cs="Arial"/>
        </w:rPr>
      </w:pPr>
    </w:p>
    <w:p w14:paraId="7419CA6F" w14:textId="77777777" w:rsidR="00E76243" w:rsidRDefault="00E76243" w:rsidP="00E76243">
      <w:pPr>
        <w:spacing w:before="0" w:after="40" w:line="259" w:lineRule="auto"/>
        <w:rPr>
          <w:rFonts w:cs="Arial"/>
        </w:rPr>
      </w:pPr>
      <w:r w:rsidRPr="00E76243">
        <w:rPr>
          <w:rFonts w:cs="Arial"/>
        </w:rPr>
        <w:t xml:space="preserve">All prescribers are recommended to prescribe generically, except it would not be clinically appropriate or where there is no approved generic name. Individuals must work within their level of professional competence and expertise. Information and guidance on non-medical prescribing is available on </w:t>
      </w:r>
      <w:hyperlink r:id="rId18" w:history="1">
        <w:r w:rsidRPr="00A17CAB">
          <w:rPr>
            <w:rStyle w:val="Hyperlink"/>
            <w:rFonts w:cs="Arial"/>
          </w:rPr>
          <w:t>NHS England</w:t>
        </w:r>
      </w:hyperlink>
      <w:r w:rsidR="00795E2C">
        <w:rPr>
          <w:rFonts w:cs="Arial"/>
          <w:vertAlign w:val="superscript"/>
        </w:rPr>
        <w:t>1</w:t>
      </w:r>
      <w:r w:rsidRPr="00E76243">
        <w:rPr>
          <w:rFonts w:cs="Arial"/>
        </w:rPr>
        <w:t xml:space="preserve">, </w:t>
      </w:r>
      <w:hyperlink r:id="rId19" w:history="1">
        <w:r w:rsidRPr="00A17CAB">
          <w:rPr>
            <w:rStyle w:val="Hyperlink"/>
            <w:rFonts w:cs="Arial"/>
          </w:rPr>
          <w:t>NICE</w:t>
        </w:r>
      </w:hyperlink>
      <w:r w:rsidR="00795E2C">
        <w:rPr>
          <w:rFonts w:cs="Arial"/>
          <w:vertAlign w:val="superscript"/>
        </w:rPr>
        <w:t>2</w:t>
      </w:r>
      <w:r w:rsidRPr="00E76243">
        <w:rPr>
          <w:rFonts w:cs="Arial"/>
        </w:rPr>
        <w:t xml:space="preserve"> and </w:t>
      </w:r>
      <w:hyperlink r:id="rId20" w:history="1">
        <w:r w:rsidRPr="00A17CAB">
          <w:rPr>
            <w:rStyle w:val="Hyperlink"/>
            <w:rFonts w:cs="Arial"/>
          </w:rPr>
          <w:t>MHRA</w:t>
        </w:r>
      </w:hyperlink>
      <w:r w:rsidR="00795E2C">
        <w:rPr>
          <w:rFonts w:cs="Arial"/>
          <w:vertAlign w:val="superscript"/>
        </w:rPr>
        <w:t>3</w:t>
      </w:r>
      <w:r w:rsidRPr="00E76243">
        <w:rPr>
          <w:rFonts w:cs="Arial"/>
        </w:rPr>
        <w:t xml:space="preserve"> websites. </w:t>
      </w:r>
    </w:p>
    <w:p w14:paraId="1C7805E1" w14:textId="77777777" w:rsidR="00A17CAB" w:rsidRPr="00E76243" w:rsidRDefault="00A17CAB" w:rsidP="00E76243">
      <w:pPr>
        <w:spacing w:before="0" w:after="40" w:line="259" w:lineRule="auto"/>
        <w:rPr>
          <w:rFonts w:cs="Arial"/>
        </w:rPr>
      </w:pPr>
    </w:p>
    <w:p w14:paraId="43863E76" w14:textId="77777777" w:rsidR="00DD2DB1" w:rsidRPr="005902C6" w:rsidRDefault="005D07F7" w:rsidP="005902C6">
      <w:pPr>
        <w:pStyle w:val="Heading2"/>
        <w:jc w:val="left"/>
        <w:rPr>
          <w:color w:val="2F5496"/>
        </w:rPr>
      </w:pPr>
      <w:bookmarkStart w:id="6" w:name="_Toc46843643"/>
      <w:r>
        <w:rPr>
          <w:color w:val="2F5496"/>
        </w:rPr>
        <w:t>2.1</w:t>
      </w:r>
      <w:r w:rsidR="005902C6" w:rsidRPr="005902C6">
        <w:rPr>
          <w:color w:val="2F5496"/>
        </w:rPr>
        <w:t xml:space="preserve"> </w:t>
      </w:r>
      <w:r w:rsidR="00DD2DB1" w:rsidRPr="005902C6">
        <w:rPr>
          <w:color w:val="2F5496"/>
        </w:rPr>
        <w:t>Types of Non-Medical Prescriber</w:t>
      </w:r>
      <w:bookmarkEnd w:id="6"/>
      <w:r w:rsidR="00DD2DB1" w:rsidRPr="005902C6">
        <w:rPr>
          <w:color w:val="2F5496"/>
        </w:rPr>
        <w:t xml:space="preserve"> </w:t>
      </w:r>
    </w:p>
    <w:p w14:paraId="101717C7" w14:textId="77777777" w:rsidR="00E76243" w:rsidRDefault="00E76243" w:rsidP="00E76243">
      <w:pPr>
        <w:spacing w:before="0" w:after="40" w:line="259" w:lineRule="auto"/>
        <w:rPr>
          <w:rFonts w:cs="Arial"/>
        </w:rPr>
      </w:pPr>
    </w:p>
    <w:p w14:paraId="60F7D7C7" w14:textId="77777777" w:rsidR="00911D3D" w:rsidRDefault="00E76243" w:rsidP="00E76243">
      <w:pPr>
        <w:spacing w:before="0" w:after="40" w:line="259" w:lineRule="auto"/>
        <w:rPr>
          <w:rFonts w:cs="Arial"/>
        </w:rPr>
      </w:pPr>
      <w:r w:rsidRPr="00A17CAB">
        <w:rPr>
          <w:rFonts w:cs="Arial"/>
          <w:b/>
        </w:rPr>
        <w:t>Independent prescribers</w:t>
      </w:r>
      <w:r w:rsidRPr="00E76243">
        <w:rPr>
          <w:rFonts w:cs="Arial"/>
        </w:rPr>
        <w:t xml:space="preserve"> are practitioners responsible and accountable for the assessment of patients with previously undiagnosed or diagnosed conditions and for decisions about the clinical management required, including prescribing.</w:t>
      </w:r>
    </w:p>
    <w:p w14:paraId="1F1DC6C2" w14:textId="77777777" w:rsidR="00A17CAB" w:rsidRDefault="00A17CAB" w:rsidP="00E76243">
      <w:pPr>
        <w:spacing w:before="0" w:after="40" w:line="259" w:lineRule="auto"/>
        <w:rPr>
          <w:rFonts w:cs="Arial"/>
        </w:rPr>
      </w:pPr>
    </w:p>
    <w:p w14:paraId="545ED5AB" w14:textId="77777777" w:rsidR="00A17CAB" w:rsidRDefault="00A17CAB" w:rsidP="00A17CAB">
      <w:pPr>
        <w:spacing w:before="0" w:after="40" w:line="259" w:lineRule="auto"/>
        <w:rPr>
          <w:rFonts w:cs="Arial"/>
        </w:rPr>
      </w:pPr>
      <w:r w:rsidRPr="00A17CAB">
        <w:rPr>
          <w:rFonts w:cs="Arial"/>
          <w:b/>
        </w:rPr>
        <w:t>Supplementary prescribing</w:t>
      </w:r>
      <w:r w:rsidRPr="00A17CAB">
        <w:rPr>
          <w:rFonts w:cs="Arial"/>
        </w:rPr>
        <w:t xml:space="preserve"> is a partnership between an independent prescriber and a supplementary prescriber to implement an agreed Clinical Management Plan (CMP) for an individual patient in agreement with the patient. A Supplementary Prescriber will prescribe medicines that have been initiated following diagnosis by an Independent Prescriber. </w:t>
      </w:r>
    </w:p>
    <w:p w14:paraId="5537EF1D" w14:textId="77777777" w:rsidR="00A17CAB" w:rsidRPr="00A17CAB" w:rsidRDefault="00A17CAB" w:rsidP="00A17CAB">
      <w:pPr>
        <w:spacing w:before="0" w:after="40" w:line="259" w:lineRule="auto"/>
        <w:rPr>
          <w:rFonts w:cs="Arial"/>
        </w:rPr>
      </w:pPr>
    </w:p>
    <w:p w14:paraId="5DDD1E40" w14:textId="77777777" w:rsidR="00A17CAB" w:rsidRPr="00A17CAB" w:rsidRDefault="00A17CAB" w:rsidP="00A17CAB">
      <w:pPr>
        <w:spacing w:before="0" w:after="40" w:line="259" w:lineRule="auto"/>
        <w:rPr>
          <w:rFonts w:cs="Arial"/>
        </w:rPr>
      </w:pPr>
      <w:r w:rsidRPr="00A17CAB">
        <w:rPr>
          <w:rFonts w:cs="Arial"/>
        </w:rPr>
        <w:t>A Clinical management Plan (CMP) is the foundation of supplementary prescribing. Before supplementary prescribing can take place, it is obligatory for the patient to be involved and an agreed CMP to be in place (written or electronic) relating to that named patient and to named specific condition(s) to be managed by the supplementary prescriber.</w:t>
      </w:r>
    </w:p>
    <w:p w14:paraId="06DE5A9D" w14:textId="77777777" w:rsidR="00A17CAB" w:rsidRDefault="00A17CAB" w:rsidP="00A17CAB">
      <w:pPr>
        <w:spacing w:before="0" w:after="40" w:line="259" w:lineRule="auto"/>
        <w:rPr>
          <w:rFonts w:cs="Arial"/>
          <w:b/>
          <w:bCs/>
        </w:rPr>
      </w:pPr>
    </w:p>
    <w:p w14:paraId="1B46F8F4" w14:textId="77777777" w:rsidR="00A17CAB" w:rsidRPr="00A17CAB" w:rsidRDefault="00A17CAB" w:rsidP="00A17CAB">
      <w:pPr>
        <w:spacing w:before="0" w:after="40" w:line="259" w:lineRule="auto"/>
        <w:rPr>
          <w:rFonts w:cs="Arial"/>
          <w:b/>
          <w:bCs/>
        </w:rPr>
      </w:pPr>
      <w:r w:rsidRPr="00A17CAB">
        <w:rPr>
          <w:rFonts w:cs="Arial"/>
          <w:b/>
          <w:bCs/>
        </w:rPr>
        <w:t>Nurse Independent prescribers</w:t>
      </w:r>
    </w:p>
    <w:p w14:paraId="0CC959CC" w14:textId="77777777" w:rsidR="00A17CAB" w:rsidRPr="00A17CAB" w:rsidRDefault="00A17CAB" w:rsidP="00A17CAB">
      <w:pPr>
        <w:spacing w:before="0" w:after="40" w:line="259" w:lineRule="auto"/>
        <w:rPr>
          <w:rFonts w:cs="Arial"/>
        </w:rPr>
      </w:pPr>
      <w:r w:rsidRPr="00A17CAB">
        <w:rPr>
          <w:rFonts w:cs="Arial"/>
        </w:rPr>
        <w:t>Nurse Independent Prescribers are able to prescribe any medicine for any medical condition within their clinical competence. Unlicensed medicines are excluded from the Nurse Prescribing Formulary in Scotland.</w:t>
      </w:r>
    </w:p>
    <w:p w14:paraId="2386A095" w14:textId="77777777" w:rsidR="00A17CAB" w:rsidRDefault="00A17CAB" w:rsidP="00A17CAB">
      <w:pPr>
        <w:spacing w:before="0" w:after="40" w:line="259" w:lineRule="auto"/>
        <w:rPr>
          <w:rFonts w:cs="Arial"/>
        </w:rPr>
      </w:pPr>
    </w:p>
    <w:p w14:paraId="7ECB33D0" w14:textId="77777777" w:rsidR="00A17CAB" w:rsidRDefault="00A17CAB" w:rsidP="00A17CAB">
      <w:pPr>
        <w:spacing w:before="0" w:after="40" w:line="259" w:lineRule="auto"/>
        <w:rPr>
          <w:rFonts w:cs="Arial"/>
        </w:rPr>
      </w:pPr>
      <w:r w:rsidRPr="00A17CAB">
        <w:rPr>
          <w:rFonts w:cs="Arial"/>
        </w:rPr>
        <w:t xml:space="preserve">Nurse Independent Prescribers are able to prescribe, administer, and give directions for the administration of Schedule 2, 3, 4, and 5 Controlled Drugs. This extends to diamorphine hydrochloride, dipipanone and cocaine for treating organic disease or injury, but not for treating addiction. </w:t>
      </w:r>
    </w:p>
    <w:p w14:paraId="548FC1E6" w14:textId="77777777" w:rsidR="00A17CAB" w:rsidRPr="00A17CAB" w:rsidRDefault="00A17CAB" w:rsidP="00A17CAB">
      <w:pPr>
        <w:spacing w:before="0" w:after="40" w:line="259" w:lineRule="auto"/>
        <w:rPr>
          <w:rFonts w:cs="Arial"/>
          <w:b/>
        </w:rPr>
      </w:pPr>
      <w:r w:rsidRPr="00A17CAB">
        <w:rPr>
          <w:rFonts w:cs="Arial"/>
          <w:b/>
        </w:rPr>
        <w:lastRenderedPageBreak/>
        <w:t>Community Practitioner Nurse Prescribers.</w:t>
      </w:r>
    </w:p>
    <w:p w14:paraId="2A0E80D4" w14:textId="77777777" w:rsidR="00A17CAB" w:rsidRPr="00A17CAB" w:rsidRDefault="00A17CAB" w:rsidP="00A17CAB">
      <w:pPr>
        <w:spacing w:before="0" w:after="40" w:line="259" w:lineRule="auto"/>
        <w:rPr>
          <w:rFonts w:cs="Arial"/>
        </w:rPr>
      </w:pPr>
      <w:r w:rsidRPr="00A17CAB">
        <w:rPr>
          <w:rFonts w:cs="Arial"/>
        </w:rPr>
        <w:t xml:space="preserve">Community practitioners nurses who have completed the necessary training can only prescribe items listed in the nurse prescribers’ list set out </w:t>
      </w:r>
      <w:hyperlink r:id="rId21" w:history="1">
        <w:r w:rsidRPr="00A17CAB">
          <w:rPr>
            <w:rStyle w:val="Hyperlink"/>
            <w:rFonts w:cs="Arial"/>
          </w:rPr>
          <w:t>Nurse Pre</w:t>
        </w:r>
        <w:bookmarkStart w:id="7" w:name="_Hlt31795309"/>
        <w:bookmarkStart w:id="8" w:name="_Hlt31795310"/>
        <w:r w:rsidRPr="00A17CAB">
          <w:rPr>
            <w:rStyle w:val="Hyperlink"/>
            <w:rFonts w:cs="Arial"/>
          </w:rPr>
          <w:t>s</w:t>
        </w:r>
        <w:bookmarkEnd w:id="7"/>
        <w:bookmarkEnd w:id="8"/>
        <w:r w:rsidRPr="00A17CAB">
          <w:rPr>
            <w:rStyle w:val="Hyperlink"/>
            <w:rFonts w:cs="Arial"/>
          </w:rPr>
          <w:t>cribers’ Formulary (NPF)</w:t>
        </w:r>
      </w:hyperlink>
      <w:r w:rsidR="00AA2667">
        <w:rPr>
          <w:rFonts w:cs="Arial"/>
          <w:vertAlign w:val="superscript"/>
        </w:rPr>
        <w:t>4</w:t>
      </w:r>
      <w:r w:rsidRPr="00A17CAB">
        <w:rPr>
          <w:rFonts w:cs="Arial"/>
        </w:rPr>
        <w:t>. </w:t>
      </w:r>
    </w:p>
    <w:p w14:paraId="09710A8E" w14:textId="77777777" w:rsidR="00A17CAB" w:rsidRPr="00A17CAB" w:rsidRDefault="00A17CAB" w:rsidP="00A17CAB">
      <w:pPr>
        <w:spacing w:before="0" w:after="40" w:line="259" w:lineRule="auto"/>
        <w:rPr>
          <w:rFonts w:cs="Arial"/>
          <w:b/>
          <w:bCs/>
        </w:rPr>
      </w:pPr>
      <w:r w:rsidRPr="00A17CAB">
        <w:rPr>
          <w:rFonts w:cs="Arial"/>
          <w:b/>
          <w:bCs/>
        </w:rPr>
        <w:t>Independent Pharmacist Prescribers</w:t>
      </w:r>
    </w:p>
    <w:p w14:paraId="50AE8C47" w14:textId="77777777" w:rsidR="00A17CAB" w:rsidRDefault="00A17CAB" w:rsidP="00A17CAB">
      <w:pPr>
        <w:spacing w:before="0" w:after="40" w:line="259" w:lineRule="auto"/>
        <w:rPr>
          <w:rFonts w:cs="Arial"/>
        </w:rPr>
      </w:pPr>
      <w:r w:rsidRPr="00A17CAB">
        <w:rPr>
          <w:rFonts w:cs="Arial"/>
        </w:rPr>
        <w:t>Pharmacist Independent Prescribers can prescribe any medicine for any medical condition within their clinical competence. This includes unlicensed medicines, subject to accepted clinical good practice. They are also able to prescribe, administer, and give directions for the administration of Schedule 2, 3, 4, and 5 Controlled Drugs. This extends to diamorphine hydrochloride, dipipanone and cocaine for treating organic disease or injury, but not for treating addiction.</w:t>
      </w:r>
    </w:p>
    <w:p w14:paraId="53485D74" w14:textId="77777777" w:rsidR="00A17CAB" w:rsidRDefault="00A17CAB" w:rsidP="00A17CAB">
      <w:pPr>
        <w:spacing w:before="0" w:after="40" w:line="259" w:lineRule="auto"/>
        <w:rPr>
          <w:rFonts w:cs="Arial"/>
        </w:rPr>
      </w:pPr>
    </w:p>
    <w:p w14:paraId="1A3606EE" w14:textId="77777777" w:rsidR="00A17CAB" w:rsidRPr="00A17CAB" w:rsidRDefault="00A17CAB" w:rsidP="00A17CAB">
      <w:pPr>
        <w:spacing w:before="0" w:after="40" w:line="259" w:lineRule="auto"/>
        <w:rPr>
          <w:rFonts w:cs="Arial"/>
          <w:b/>
          <w:bCs/>
        </w:rPr>
      </w:pPr>
      <w:r w:rsidRPr="00A17CAB">
        <w:rPr>
          <w:rFonts w:cs="Arial"/>
          <w:b/>
          <w:bCs/>
        </w:rPr>
        <w:t>Physiotherapists</w:t>
      </w:r>
    </w:p>
    <w:p w14:paraId="25B49F7F" w14:textId="77777777" w:rsidR="00A17CAB" w:rsidRDefault="00CF2869" w:rsidP="00A17CAB">
      <w:pPr>
        <w:spacing w:before="0" w:after="40" w:line="259" w:lineRule="auto"/>
        <w:rPr>
          <w:rFonts w:cs="Arial"/>
        </w:rPr>
      </w:pPr>
      <w:hyperlink r:id="rId22" w:history="1">
        <w:r w:rsidR="00A17CAB" w:rsidRPr="00A17CAB">
          <w:rPr>
            <w:rStyle w:val="Hyperlink"/>
            <w:rFonts w:cs="Arial"/>
          </w:rPr>
          <w:t>Physiotherapist Independent Prescribers</w:t>
        </w:r>
        <w:r w:rsidR="00ED231F">
          <w:rPr>
            <w:rStyle w:val="Hyperlink"/>
            <w:rFonts w:cs="Arial"/>
            <w:vertAlign w:val="superscript"/>
          </w:rPr>
          <w:t>2</w:t>
        </w:r>
        <w:r w:rsidR="00A17CAB" w:rsidRPr="00A17CAB">
          <w:rPr>
            <w:rStyle w:val="Hyperlink"/>
            <w:rFonts w:cs="Arial"/>
          </w:rPr>
          <w:t xml:space="preserve"> </w:t>
        </w:r>
      </w:hyperlink>
      <w:r w:rsidR="00A17CAB" w:rsidRPr="00A17CAB">
        <w:rPr>
          <w:rFonts w:cs="Arial"/>
        </w:rPr>
        <w:t xml:space="preserve"> can prescribe any medicine for any medical condition. This includes “off-label” medicines subject to accepted clinical good practice. They are also allowed to prescribe the following Controlled Drugs: oral or </w:t>
      </w:r>
      <w:r w:rsidR="00A17CAB" w:rsidRPr="00AA2667">
        <w:rPr>
          <w:rFonts w:cs="Arial"/>
        </w:rPr>
        <w:t>injectable morphine, transdermal fentanyl and oral diazepam, dihydrocodeine tartrate, lorazepam, oxycodone hydrochloride or temazepam.</w:t>
      </w:r>
    </w:p>
    <w:p w14:paraId="1D57861C" w14:textId="77777777" w:rsidR="00A17CAB" w:rsidRPr="00A17CAB" w:rsidRDefault="00A17CAB" w:rsidP="00A17CAB">
      <w:pPr>
        <w:spacing w:before="0" w:after="40" w:line="259" w:lineRule="auto"/>
        <w:rPr>
          <w:rFonts w:cs="Arial"/>
        </w:rPr>
      </w:pPr>
    </w:p>
    <w:p w14:paraId="41C091C6" w14:textId="77777777" w:rsidR="00A17CAB" w:rsidRPr="00A17CAB" w:rsidRDefault="00A17CAB" w:rsidP="00A17CAB">
      <w:pPr>
        <w:spacing w:before="0" w:after="40" w:line="259" w:lineRule="auto"/>
        <w:rPr>
          <w:rFonts w:cs="Arial"/>
        </w:rPr>
      </w:pPr>
      <w:r w:rsidRPr="00A17CAB">
        <w:rPr>
          <w:rFonts w:cs="Arial"/>
        </w:rPr>
        <w:t>Physiotherapist Independent Prescribers must work within their own level of professional competence and expertise.</w:t>
      </w:r>
    </w:p>
    <w:p w14:paraId="13A53C36" w14:textId="77777777" w:rsidR="00A17CAB" w:rsidRDefault="00A17CAB" w:rsidP="00A17CAB">
      <w:pPr>
        <w:spacing w:before="0" w:after="40" w:line="259" w:lineRule="auto"/>
        <w:rPr>
          <w:rFonts w:cs="Arial"/>
          <w:b/>
          <w:bCs/>
        </w:rPr>
      </w:pPr>
    </w:p>
    <w:p w14:paraId="4503B0F1" w14:textId="77777777" w:rsidR="00A17CAB" w:rsidRPr="00A17CAB" w:rsidRDefault="00A17CAB" w:rsidP="00A17CAB">
      <w:pPr>
        <w:spacing w:before="0" w:after="40" w:line="259" w:lineRule="auto"/>
        <w:rPr>
          <w:rFonts w:cs="Arial"/>
          <w:b/>
          <w:bCs/>
        </w:rPr>
      </w:pPr>
      <w:r w:rsidRPr="00A17CAB">
        <w:rPr>
          <w:rFonts w:cs="Arial"/>
          <w:b/>
          <w:bCs/>
        </w:rPr>
        <w:t>Therapeutic radiographers</w:t>
      </w:r>
    </w:p>
    <w:p w14:paraId="39A7F8C6" w14:textId="77777777" w:rsidR="00A17CAB" w:rsidRDefault="00CF2869" w:rsidP="00A17CAB">
      <w:pPr>
        <w:spacing w:before="0" w:after="40" w:line="259" w:lineRule="auto"/>
        <w:rPr>
          <w:rFonts w:cs="Arial"/>
        </w:rPr>
      </w:pPr>
      <w:hyperlink r:id="rId23" w:history="1">
        <w:r w:rsidR="00A17CAB" w:rsidRPr="00A17CAB">
          <w:rPr>
            <w:rStyle w:val="Hyperlink"/>
            <w:rFonts w:cs="Arial"/>
          </w:rPr>
          <w:t>Therapeutic Radiographer Independent Prescribers</w:t>
        </w:r>
        <w:r w:rsidR="00ED231F">
          <w:rPr>
            <w:rStyle w:val="Hyperlink"/>
            <w:rFonts w:cs="Arial"/>
            <w:vertAlign w:val="superscript"/>
          </w:rPr>
          <w:t>5</w:t>
        </w:r>
        <w:r w:rsidR="00A17CAB" w:rsidRPr="00ED231F">
          <w:rPr>
            <w:rStyle w:val="Hyperlink"/>
            <w:rFonts w:cs="Arial"/>
            <w:u w:val="none"/>
          </w:rPr>
          <w:t xml:space="preserve"> </w:t>
        </w:r>
      </w:hyperlink>
      <w:r w:rsidR="00A17CAB" w:rsidRPr="00A17CAB">
        <w:rPr>
          <w:rFonts w:cs="Arial"/>
        </w:rPr>
        <w:t xml:space="preserve">can prescribe any medicine for any medical condition. This includes “off-label” medicines subject to accepted clinical good practice. Therapeutic Radiographer Independent Prescribers must work within their own level of professional competence and expertise. </w:t>
      </w:r>
    </w:p>
    <w:p w14:paraId="7BFF9AFE" w14:textId="77777777" w:rsidR="00A17CAB" w:rsidRPr="00A17CAB" w:rsidRDefault="00A17CAB" w:rsidP="00A17CAB">
      <w:pPr>
        <w:spacing w:before="0" w:after="40" w:line="259" w:lineRule="auto"/>
        <w:rPr>
          <w:rFonts w:cs="Arial"/>
        </w:rPr>
      </w:pPr>
    </w:p>
    <w:p w14:paraId="17EA0507" w14:textId="77777777" w:rsidR="00A17CAB" w:rsidRPr="00A17CAB" w:rsidRDefault="00A17CAB" w:rsidP="00A17CAB">
      <w:pPr>
        <w:spacing w:before="0" w:after="40" w:line="259" w:lineRule="auto"/>
        <w:rPr>
          <w:rFonts w:cs="Arial"/>
          <w:b/>
          <w:bCs/>
        </w:rPr>
      </w:pPr>
      <w:r w:rsidRPr="00A17CAB">
        <w:rPr>
          <w:rFonts w:cs="Arial"/>
          <w:b/>
          <w:bCs/>
        </w:rPr>
        <w:t>Optometrists</w:t>
      </w:r>
    </w:p>
    <w:p w14:paraId="07CF8FAC" w14:textId="77777777" w:rsidR="00A17CAB" w:rsidRDefault="00CF2869" w:rsidP="00A17CAB">
      <w:pPr>
        <w:spacing w:before="0" w:after="40" w:line="259" w:lineRule="auto"/>
        <w:rPr>
          <w:rFonts w:cs="Arial"/>
        </w:rPr>
      </w:pPr>
      <w:hyperlink w:history="1">
        <w:r w:rsidR="00A17CAB" w:rsidRPr="00A17CAB">
          <w:rPr>
            <w:rStyle w:val="Hyperlink"/>
            <w:rFonts w:cs="Arial"/>
          </w:rPr>
          <w:t>Optometrist Independent Prescribers</w:t>
        </w:r>
      </w:hyperlink>
      <w:r w:rsidR="00D02A4F">
        <w:rPr>
          <w:rFonts w:cs="Arial"/>
          <w:vertAlign w:val="superscript"/>
        </w:rPr>
        <w:t>2</w:t>
      </w:r>
      <w:r w:rsidR="00A17CAB" w:rsidRPr="00A17CAB">
        <w:rPr>
          <w:rFonts w:cs="Arial"/>
        </w:rPr>
        <w:t xml:space="preserve"> can prescribe any licensed medicine for ocular conditions affecting the eye and the tissues surrounding the eye, except Controlled Drugs or medicines for parenteral administration. Optometrist Independent Prescribers must work within their own level of professional competence and expertise.</w:t>
      </w:r>
    </w:p>
    <w:p w14:paraId="40C780D1" w14:textId="77777777" w:rsidR="00A17CAB" w:rsidRPr="00A17CAB" w:rsidRDefault="00A17CAB" w:rsidP="00A17CAB">
      <w:pPr>
        <w:spacing w:before="0" w:after="40" w:line="259" w:lineRule="auto"/>
        <w:rPr>
          <w:rFonts w:cs="Arial"/>
        </w:rPr>
      </w:pPr>
    </w:p>
    <w:p w14:paraId="40A5A8C5" w14:textId="77777777" w:rsidR="00A17CAB" w:rsidRPr="00A17CAB" w:rsidRDefault="00A17CAB" w:rsidP="00A17CAB">
      <w:pPr>
        <w:spacing w:before="0" w:after="40" w:line="259" w:lineRule="auto"/>
        <w:rPr>
          <w:rFonts w:cs="Arial"/>
          <w:b/>
          <w:bCs/>
        </w:rPr>
      </w:pPr>
      <w:r w:rsidRPr="00A17CAB">
        <w:rPr>
          <w:rFonts w:cs="Arial"/>
          <w:b/>
          <w:bCs/>
        </w:rPr>
        <w:t>Podiatrists</w:t>
      </w:r>
    </w:p>
    <w:p w14:paraId="2E48550D" w14:textId="77777777" w:rsidR="00A17CAB" w:rsidRDefault="00CF2869" w:rsidP="00A17CAB">
      <w:pPr>
        <w:spacing w:before="0" w:after="40" w:line="259" w:lineRule="auto"/>
        <w:rPr>
          <w:rFonts w:cs="Arial"/>
          <w:b/>
          <w:bCs/>
        </w:rPr>
      </w:pPr>
      <w:hyperlink r:id="rId24" w:history="1">
        <w:r w:rsidR="00A17CAB" w:rsidRPr="00A17CAB">
          <w:rPr>
            <w:rStyle w:val="Hyperlink"/>
            <w:rFonts w:cs="Arial"/>
            <w:bCs/>
          </w:rPr>
          <w:t>Podiatrists</w:t>
        </w:r>
        <w:r w:rsidR="00D02A4F">
          <w:rPr>
            <w:rStyle w:val="Hyperlink"/>
            <w:rFonts w:cs="Arial"/>
            <w:bCs/>
            <w:vertAlign w:val="superscript"/>
          </w:rPr>
          <w:t>2</w:t>
        </w:r>
        <w:r w:rsidR="00A17CAB" w:rsidRPr="00A17CAB">
          <w:rPr>
            <w:rStyle w:val="Hyperlink"/>
            <w:rFonts w:cs="Arial"/>
            <w:bCs/>
          </w:rPr>
          <w:t xml:space="preserve"> </w:t>
        </w:r>
      </w:hyperlink>
      <w:r w:rsidR="00A17CAB" w:rsidRPr="00A17CAB">
        <w:rPr>
          <w:rFonts w:cs="Arial"/>
          <w:bCs/>
        </w:rPr>
        <w:t>can</w:t>
      </w:r>
      <w:r w:rsidR="00A17CAB" w:rsidRPr="00A17CAB">
        <w:rPr>
          <w:rFonts w:cs="Arial"/>
        </w:rPr>
        <w:t xml:space="preserve"> prescribe any medicine for any medical condition. This includes “off-label” medicines subject to accepted clinical good practice. They are also allowed to prescribe the following Controlled Drugs for oral administration: diazepam, dihydrocodeine tartrate, lorazepam and temazepam.</w:t>
      </w:r>
      <w:r w:rsidR="00A17CAB" w:rsidRPr="00A17CAB">
        <w:rPr>
          <w:rFonts w:cs="Arial"/>
          <w:b/>
          <w:bCs/>
        </w:rPr>
        <w:tab/>
      </w:r>
    </w:p>
    <w:p w14:paraId="27F39224" w14:textId="77777777" w:rsidR="00A17CAB" w:rsidRPr="00A17CAB" w:rsidRDefault="00A17CAB" w:rsidP="00A17CAB">
      <w:pPr>
        <w:spacing w:before="0" w:after="40" w:line="259" w:lineRule="auto"/>
        <w:rPr>
          <w:rFonts w:cs="Arial"/>
          <w:b/>
          <w:bCs/>
        </w:rPr>
      </w:pPr>
    </w:p>
    <w:p w14:paraId="463A2E51" w14:textId="77777777" w:rsidR="00A17CAB" w:rsidRPr="00A17CAB" w:rsidRDefault="00A17CAB" w:rsidP="00A17CAB">
      <w:pPr>
        <w:spacing w:before="0" w:after="40" w:line="259" w:lineRule="auto"/>
        <w:rPr>
          <w:rFonts w:cs="Arial"/>
          <w:b/>
          <w:lang w:val="en-US"/>
        </w:rPr>
      </w:pPr>
      <w:r w:rsidRPr="00A17CAB">
        <w:rPr>
          <w:rFonts w:cs="Arial"/>
          <w:b/>
          <w:lang w:val="en-US"/>
        </w:rPr>
        <w:t>Paramedics</w:t>
      </w:r>
    </w:p>
    <w:p w14:paraId="410FBEF4" w14:textId="77777777" w:rsidR="00A17CAB" w:rsidRPr="00A17CAB" w:rsidRDefault="00CF2869" w:rsidP="00A17CAB">
      <w:pPr>
        <w:spacing w:before="0" w:after="40" w:line="259" w:lineRule="auto"/>
        <w:rPr>
          <w:rFonts w:cs="Arial"/>
          <w:lang w:val="en-US"/>
        </w:rPr>
      </w:pPr>
      <w:hyperlink r:id="rId25" w:history="1">
        <w:r w:rsidR="00A17CAB" w:rsidRPr="00A17CAB">
          <w:rPr>
            <w:rStyle w:val="Hyperlink"/>
            <w:rFonts w:cs="Arial"/>
          </w:rPr>
          <w:t xml:space="preserve"> Paramedic Independent prescribers</w:t>
        </w:r>
      </w:hyperlink>
      <w:r w:rsidR="004A1461">
        <w:rPr>
          <w:rFonts w:cs="Arial"/>
          <w:vertAlign w:val="superscript"/>
        </w:rPr>
        <w:t>6</w:t>
      </w:r>
      <w:r w:rsidR="004F1D8E">
        <w:rPr>
          <w:rFonts w:cs="Arial"/>
        </w:rPr>
        <w:t xml:space="preserve"> </w:t>
      </w:r>
      <w:r w:rsidR="00A17CAB" w:rsidRPr="00A17CAB">
        <w:rPr>
          <w:rFonts w:cs="Arial"/>
          <w:lang w:val="en-US"/>
        </w:rPr>
        <w:t xml:space="preserve">who successfully complete a prescribing </w:t>
      </w:r>
      <w:proofErr w:type="spellStart"/>
      <w:r w:rsidR="00A17CAB" w:rsidRPr="00A17CAB">
        <w:rPr>
          <w:rFonts w:cs="Arial"/>
          <w:lang w:val="en-US"/>
        </w:rPr>
        <w:t>programme</w:t>
      </w:r>
      <w:proofErr w:type="spellEnd"/>
      <w:r w:rsidR="00A17CAB" w:rsidRPr="00A17CAB">
        <w:rPr>
          <w:rFonts w:cs="Arial"/>
          <w:lang w:val="en-US"/>
        </w:rPr>
        <w:t xml:space="preserve"> will be qualified as both a supplementary and independent prescriber and will need to be annotated as such on the Health and Care Professions Council (HCPC) register before they are able to prescribe in practice.</w:t>
      </w:r>
    </w:p>
    <w:p w14:paraId="141D7534" w14:textId="77777777" w:rsidR="00A17CAB" w:rsidRDefault="00A17CAB" w:rsidP="00A17CAB">
      <w:pPr>
        <w:spacing w:before="0" w:after="40" w:line="259" w:lineRule="auto"/>
        <w:rPr>
          <w:rFonts w:cs="Arial"/>
          <w:lang w:val="en-US"/>
        </w:rPr>
      </w:pPr>
    </w:p>
    <w:p w14:paraId="49260835" w14:textId="77777777" w:rsidR="00A17CAB" w:rsidRPr="00A17CAB" w:rsidRDefault="00A17CAB" w:rsidP="00A17CAB">
      <w:pPr>
        <w:spacing w:before="0" w:after="40" w:line="259" w:lineRule="auto"/>
        <w:rPr>
          <w:rFonts w:cs="Arial"/>
          <w:b/>
        </w:rPr>
      </w:pPr>
      <w:r w:rsidRPr="00A17CAB">
        <w:rPr>
          <w:rFonts w:cs="Arial"/>
          <w:b/>
        </w:rPr>
        <w:t xml:space="preserve">Dietitians </w:t>
      </w:r>
    </w:p>
    <w:p w14:paraId="5315BB8F" w14:textId="77777777" w:rsidR="00A17CAB" w:rsidRDefault="00A17CAB" w:rsidP="00A17CAB">
      <w:pPr>
        <w:spacing w:before="0" w:after="40" w:line="259" w:lineRule="auto"/>
        <w:rPr>
          <w:rFonts w:cs="Arial"/>
        </w:rPr>
      </w:pPr>
      <w:r w:rsidRPr="00A17CAB">
        <w:rPr>
          <w:rFonts w:cs="Arial"/>
        </w:rPr>
        <w:t xml:space="preserve">Eligible </w:t>
      </w:r>
      <w:hyperlink r:id="rId26" w:history="1">
        <w:r w:rsidRPr="00A17CAB">
          <w:rPr>
            <w:rStyle w:val="Hyperlink"/>
            <w:rFonts w:cs="Arial"/>
          </w:rPr>
          <w:t>dietitians</w:t>
        </w:r>
      </w:hyperlink>
      <w:r w:rsidR="004F1D8E">
        <w:rPr>
          <w:rFonts w:cs="Arial"/>
          <w:vertAlign w:val="superscript"/>
        </w:rPr>
        <w:t>7</w:t>
      </w:r>
      <w:r w:rsidRPr="00A17CAB">
        <w:rPr>
          <w:rFonts w:cs="Arial"/>
        </w:rPr>
        <w:t xml:space="preserve"> are able to become supplementary prescribers following successful completion of a Health and Care Professions Council (HCPC) approved prescribing programme.</w:t>
      </w:r>
    </w:p>
    <w:p w14:paraId="03C942C8" w14:textId="77777777" w:rsidR="00A17CAB" w:rsidRDefault="00A17CAB" w:rsidP="00A17CAB">
      <w:pPr>
        <w:spacing w:before="0" w:after="40" w:line="259" w:lineRule="auto"/>
        <w:rPr>
          <w:rFonts w:cs="Arial"/>
        </w:rPr>
      </w:pPr>
    </w:p>
    <w:p w14:paraId="5B13A05C" w14:textId="77777777" w:rsidR="00A17CAB" w:rsidRPr="00A17CAB" w:rsidRDefault="00A17CAB" w:rsidP="00A17CAB">
      <w:pPr>
        <w:spacing w:after="0"/>
        <w:textAlignment w:val="baseline"/>
        <w:rPr>
          <w:rFonts w:cs="Arial"/>
        </w:rPr>
      </w:pPr>
      <w:r w:rsidRPr="00A17CAB">
        <w:rPr>
          <w:rFonts w:cs="Arial"/>
          <w:b/>
        </w:rPr>
        <w:lastRenderedPageBreak/>
        <w:t xml:space="preserve">Orthoptists </w:t>
      </w:r>
      <w:hyperlink r:id="rId27" w:history="1">
        <w:r w:rsidRPr="00A17CAB">
          <w:rPr>
            <w:rStyle w:val="Hyperlink"/>
            <w:rFonts w:cs="Arial"/>
          </w:rPr>
          <w:t>Orthoptists</w:t>
        </w:r>
      </w:hyperlink>
      <w:r w:rsidR="00330A62">
        <w:rPr>
          <w:rFonts w:cs="Arial"/>
          <w:vertAlign w:val="superscript"/>
        </w:rPr>
        <w:t>8</w:t>
      </w:r>
      <w:r w:rsidRPr="00A17CAB">
        <w:rPr>
          <w:rFonts w:cs="Arial"/>
        </w:rPr>
        <w:t xml:space="preserve"> Independent Prescribers can prescribe any licensed medicine for ocular conditions affecting the eye and the tissues surrounding the eye, except Controlled Drugs or medicines for parenteral administration. </w:t>
      </w:r>
    </w:p>
    <w:tbl>
      <w:tblPr>
        <w:tblpPr w:leftFromText="180" w:rightFromText="180" w:vertAnchor="text" w:horzAnchor="margin" w:tblpY="3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8B1052" w:rsidRPr="009427D2" w14:paraId="4C193DFD" w14:textId="77777777" w:rsidTr="008B1052">
        <w:trPr>
          <w:trHeight w:val="274"/>
        </w:trPr>
        <w:tc>
          <w:tcPr>
            <w:tcW w:w="10076" w:type="dxa"/>
            <w:shd w:val="clear" w:color="auto" w:fill="auto"/>
          </w:tcPr>
          <w:p w14:paraId="1AFBE1FC" w14:textId="77777777" w:rsidR="00A17CAB" w:rsidRPr="008B1052" w:rsidRDefault="00CF2869" w:rsidP="00BC4DF0">
            <w:pPr>
              <w:pStyle w:val="NormalWeb"/>
              <w:spacing w:after="0" w:line="360" w:lineRule="auto"/>
              <w:jc w:val="both"/>
              <w:rPr>
                <w:rFonts w:ascii="Arial" w:hAnsi="Arial" w:cs="Arial"/>
                <w:color w:val="0E0E0E"/>
                <w:sz w:val="22"/>
                <w:szCs w:val="22"/>
              </w:rPr>
            </w:pPr>
            <w:hyperlink r:id="rId28" w:history="1">
              <w:r w:rsidR="00A17CAB" w:rsidRPr="00BE42FC">
                <w:rPr>
                  <w:rStyle w:val="Hyperlink"/>
                  <w:rFonts w:ascii="Arial" w:hAnsi="Arial" w:cs="Arial"/>
                  <w:b/>
                  <w:sz w:val="22"/>
                  <w:szCs w:val="22"/>
                </w:rPr>
                <w:t>Physician Associates</w:t>
              </w:r>
              <w:r w:rsidR="00BC4DF0" w:rsidRPr="00BE42FC">
                <w:rPr>
                  <w:rStyle w:val="Hyperlink"/>
                  <w:rFonts w:ascii="Arial" w:hAnsi="Arial" w:cs="Arial"/>
                  <w:sz w:val="22"/>
                  <w:szCs w:val="22"/>
                  <w:u w:val="none"/>
                  <w:vertAlign w:val="superscript"/>
                </w:rPr>
                <w:t>9</w:t>
              </w:r>
            </w:hyperlink>
            <w:r w:rsidR="00A17CAB" w:rsidRPr="00BE42FC">
              <w:rPr>
                <w:rFonts w:ascii="Arial" w:hAnsi="Arial" w:cs="Arial"/>
                <w:sz w:val="22"/>
                <w:szCs w:val="22"/>
              </w:rPr>
              <w:t xml:space="preserve"> currently </w:t>
            </w:r>
            <w:r w:rsidR="00A17CAB" w:rsidRPr="00BE42FC">
              <w:rPr>
                <w:rFonts w:ascii="Arial" w:hAnsi="Arial" w:cs="Arial"/>
                <w:color w:val="0E0E0E"/>
                <w:sz w:val="22"/>
                <w:szCs w:val="22"/>
              </w:rPr>
              <w:t>are not a regulated profession and therefore are unable to prescribe as there is no legal professional framework to enable them to prescribe. There is ongoing work to regulate this workforce group.</w:t>
            </w:r>
          </w:p>
        </w:tc>
      </w:tr>
    </w:tbl>
    <w:p w14:paraId="7F6BEAA6" w14:textId="77777777" w:rsidR="00A17CAB" w:rsidRDefault="00A17CAB" w:rsidP="004A15C9">
      <w:pPr>
        <w:pStyle w:val="Heading1"/>
        <w:numPr>
          <w:ilvl w:val="0"/>
          <w:numId w:val="34"/>
        </w:numPr>
        <w:jc w:val="left"/>
        <w:rPr>
          <w:color w:val="2F5496"/>
        </w:rPr>
      </w:pPr>
      <w:bookmarkStart w:id="9" w:name="_Toc39152520"/>
      <w:bookmarkStart w:id="10" w:name="_Toc46843644"/>
      <w:r w:rsidRPr="008B1052">
        <w:rPr>
          <w:color w:val="2F5496"/>
        </w:rPr>
        <w:t>Roles and Responsibilities</w:t>
      </w:r>
      <w:bookmarkEnd w:id="9"/>
      <w:bookmarkEnd w:id="10"/>
    </w:p>
    <w:p w14:paraId="6A15D70A" w14:textId="77777777" w:rsidR="004973FD" w:rsidRPr="004973FD" w:rsidRDefault="004973FD" w:rsidP="004973FD"/>
    <w:p w14:paraId="62E79AD5" w14:textId="77777777" w:rsidR="00A17CAB" w:rsidRDefault="00A17CAB" w:rsidP="00A17CAB">
      <w:pPr>
        <w:spacing w:before="0" w:after="0" w:line="259" w:lineRule="auto"/>
        <w:rPr>
          <w:rFonts w:cs="Arial"/>
          <w:bCs/>
        </w:rPr>
      </w:pPr>
      <w:r w:rsidRPr="00A17CAB">
        <w:rPr>
          <w:rFonts w:cs="Arial"/>
          <w:bCs/>
        </w:rPr>
        <w:t xml:space="preserve">This section provides an overview of the </w:t>
      </w:r>
      <w:r w:rsidRPr="00A17CAB">
        <w:rPr>
          <w:rFonts w:cs="Arial"/>
        </w:rPr>
        <w:t>responsibilities</w:t>
      </w:r>
      <w:r w:rsidRPr="00A17CAB">
        <w:rPr>
          <w:rFonts w:cs="Arial"/>
          <w:bCs/>
        </w:rPr>
        <w:t>, duties</w:t>
      </w:r>
      <w:r w:rsidRPr="00A17CAB">
        <w:rPr>
          <w:rFonts w:cs="Arial"/>
        </w:rPr>
        <w:t xml:space="preserve"> and </w:t>
      </w:r>
      <w:r w:rsidRPr="00A17CAB">
        <w:rPr>
          <w:rFonts w:cs="Arial"/>
          <w:bCs/>
        </w:rPr>
        <w:t>accountabilities of both the individual prescriber and the employing organisation.</w:t>
      </w:r>
    </w:p>
    <w:p w14:paraId="6A2BD569" w14:textId="77777777" w:rsidR="00A17CAB" w:rsidRPr="00A17CAB" w:rsidRDefault="00A17CAB" w:rsidP="00A17CAB">
      <w:pPr>
        <w:spacing w:before="0" w:after="0" w:line="259" w:lineRule="auto"/>
        <w:rPr>
          <w:rFonts w:cs="Arial"/>
        </w:rPr>
      </w:pPr>
    </w:p>
    <w:p w14:paraId="2EA71CE6" w14:textId="77777777" w:rsidR="00A17CAB" w:rsidRPr="00A17CAB" w:rsidRDefault="00A17CAB" w:rsidP="00A17CAB">
      <w:pPr>
        <w:spacing w:before="0" w:after="0" w:line="259" w:lineRule="auto"/>
        <w:rPr>
          <w:rFonts w:cs="Arial"/>
          <w:bCs/>
        </w:rPr>
      </w:pPr>
      <w:r w:rsidRPr="00A17CAB">
        <w:rPr>
          <w:rFonts w:cs="Arial"/>
          <w:bCs/>
        </w:rPr>
        <w:t xml:space="preserve">The employer e.g. GP Practice, is held vicariously liable for the actions of non-medical </w:t>
      </w:r>
      <w:r w:rsidRPr="00A17CAB">
        <w:rPr>
          <w:rFonts w:cs="Arial"/>
        </w:rPr>
        <w:t xml:space="preserve">prescribers and </w:t>
      </w:r>
      <w:r w:rsidRPr="00A17CAB">
        <w:rPr>
          <w:rFonts w:cs="Arial"/>
          <w:bCs/>
        </w:rPr>
        <w:t xml:space="preserve">hence the </w:t>
      </w:r>
      <w:r w:rsidRPr="00A17CAB">
        <w:rPr>
          <w:rFonts w:cs="Arial"/>
        </w:rPr>
        <w:t xml:space="preserve">overall responsibility for the quality </w:t>
      </w:r>
      <w:r w:rsidRPr="00A17CAB">
        <w:rPr>
          <w:rFonts w:cs="Arial"/>
          <w:bCs/>
        </w:rPr>
        <w:t>and safety of care received by patients. Vicarious liability does not apply in all cases, for instance when a prescriber undertakes work outside their role, if self-employed, or in cases of gross negligence.</w:t>
      </w:r>
    </w:p>
    <w:p w14:paraId="5C0C71C7" w14:textId="77777777" w:rsidR="002B694A" w:rsidRDefault="002B694A" w:rsidP="00F9567B">
      <w:pPr>
        <w:spacing w:before="0" w:after="0" w:line="259" w:lineRule="auto"/>
        <w:jc w:val="left"/>
        <w:rPr>
          <w:rFonts w:cs="Arial"/>
        </w:rPr>
      </w:pPr>
    </w:p>
    <w:p w14:paraId="6475D168" w14:textId="77777777" w:rsidR="007519F9" w:rsidRPr="005902C6" w:rsidRDefault="007519F9" w:rsidP="004A15C9">
      <w:pPr>
        <w:pStyle w:val="Heading2"/>
        <w:numPr>
          <w:ilvl w:val="1"/>
          <w:numId w:val="32"/>
        </w:numPr>
        <w:ind w:left="709"/>
        <w:jc w:val="both"/>
        <w:rPr>
          <w:color w:val="2F5496"/>
        </w:rPr>
      </w:pPr>
      <w:bookmarkStart w:id="11" w:name="_Toc39152521"/>
      <w:bookmarkStart w:id="12" w:name="_Toc46843645"/>
      <w:r w:rsidRPr="005902C6">
        <w:rPr>
          <w:color w:val="2F5496"/>
        </w:rPr>
        <w:t>Employer responsibilities</w:t>
      </w:r>
      <w:bookmarkEnd w:id="11"/>
      <w:bookmarkEnd w:id="12"/>
      <w:r w:rsidRPr="005902C6">
        <w:rPr>
          <w:color w:val="2F5496"/>
        </w:rPr>
        <w:t xml:space="preserve"> </w:t>
      </w:r>
    </w:p>
    <w:p w14:paraId="16EF7520" w14:textId="77777777" w:rsidR="007519F9" w:rsidRDefault="007519F9" w:rsidP="007519F9">
      <w:pPr>
        <w:spacing w:before="0" w:after="0" w:line="259" w:lineRule="auto"/>
        <w:jc w:val="left"/>
        <w:rPr>
          <w:rFonts w:cs="Arial"/>
          <w:bCs/>
        </w:rPr>
      </w:pPr>
      <w:bookmarkStart w:id="13" w:name="_Toc39152522"/>
      <w:r w:rsidRPr="007519F9">
        <w:rPr>
          <w:rFonts w:cs="Arial"/>
          <w:bCs/>
        </w:rPr>
        <w:t>The employer should ensure the following:</w:t>
      </w:r>
      <w:bookmarkEnd w:id="13"/>
    </w:p>
    <w:p w14:paraId="7B6D0724" w14:textId="77777777" w:rsidR="007519F9" w:rsidRPr="007519F9" w:rsidRDefault="007519F9" w:rsidP="004A15C9">
      <w:pPr>
        <w:numPr>
          <w:ilvl w:val="0"/>
          <w:numId w:val="7"/>
        </w:numPr>
        <w:spacing w:before="0" w:after="0" w:line="259" w:lineRule="auto"/>
        <w:rPr>
          <w:rFonts w:cs="Arial"/>
        </w:rPr>
      </w:pPr>
      <w:r w:rsidRPr="007519F9">
        <w:rPr>
          <w:rFonts w:cs="Arial"/>
        </w:rPr>
        <w:t xml:space="preserve">The Non-Medical Prescriber has access to a prescribing budget </w:t>
      </w:r>
    </w:p>
    <w:p w14:paraId="20B7EAF6" w14:textId="77777777" w:rsidR="007519F9" w:rsidRPr="007519F9" w:rsidRDefault="007519F9" w:rsidP="004A15C9">
      <w:pPr>
        <w:numPr>
          <w:ilvl w:val="0"/>
          <w:numId w:val="6"/>
        </w:numPr>
        <w:spacing w:before="0" w:after="0" w:line="259" w:lineRule="auto"/>
        <w:rPr>
          <w:rFonts w:cs="Arial"/>
        </w:rPr>
      </w:pPr>
      <w:r w:rsidRPr="007519F9">
        <w:rPr>
          <w:rFonts w:cs="Arial"/>
        </w:rPr>
        <w:t xml:space="preserve">The Non-Medical Prescriber has the skills and knowledge necessary to carry out the role and is prescribing within their area of competency. Employers must complete an </w:t>
      </w:r>
      <w:r w:rsidRPr="007519F9">
        <w:rPr>
          <w:rFonts w:cs="Arial"/>
          <w:b/>
        </w:rPr>
        <w:t xml:space="preserve">Assurance form (Appendix </w:t>
      </w:r>
      <w:r w:rsidR="007A0102">
        <w:rPr>
          <w:rFonts w:cs="Arial"/>
          <w:b/>
        </w:rPr>
        <w:t>I</w:t>
      </w:r>
      <w:r w:rsidRPr="007519F9">
        <w:rPr>
          <w:rFonts w:cs="Arial"/>
          <w:b/>
        </w:rPr>
        <w:t>I</w:t>
      </w:r>
      <w:r w:rsidR="00DB5B34">
        <w:rPr>
          <w:rFonts w:cs="Arial"/>
          <w:b/>
        </w:rPr>
        <w:t>I</w:t>
      </w:r>
      <w:r w:rsidRPr="007519F9">
        <w:rPr>
          <w:rFonts w:cs="Arial"/>
          <w:b/>
        </w:rPr>
        <w:t>)</w:t>
      </w:r>
      <w:r w:rsidRPr="007519F9">
        <w:rPr>
          <w:rFonts w:cs="Arial"/>
        </w:rPr>
        <w:t xml:space="preserve"> for all Non-Medical Prescribers </w:t>
      </w:r>
    </w:p>
    <w:p w14:paraId="4ABDB503" w14:textId="77777777" w:rsidR="007519F9" w:rsidRPr="007519F9" w:rsidRDefault="007519F9" w:rsidP="004A15C9">
      <w:pPr>
        <w:numPr>
          <w:ilvl w:val="0"/>
          <w:numId w:val="6"/>
        </w:numPr>
        <w:spacing w:before="0" w:after="0" w:line="259" w:lineRule="auto"/>
        <w:rPr>
          <w:rFonts w:cs="Arial"/>
        </w:rPr>
      </w:pPr>
      <w:r w:rsidRPr="007519F9">
        <w:rPr>
          <w:rFonts w:cs="Arial"/>
        </w:rPr>
        <w:t>An accurate summary of prescribing responsibilities is incorporated in the practitioners’ job description</w:t>
      </w:r>
    </w:p>
    <w:p w14:paraId="6AD5FF2A" w14:textId="77777777" w:rsidR="007519F9" w:rsidRPr="007519F9" w:rsidRDefault="007519F9" w:rsidP="004A15C9">
      <w:pPr>
        <w:numPr>
          <w:ilvl w:val="0"/>
          <w:numId w:val="6"/>
        </w:numPr>
        <w:spacing w:before="0" w:after="0" w:line="259" w:lineRule="auto"/>
        <w:rPr>
          <w:rFonts w:cs="Arial"/>
        </w:rPr>
      </w:pPr>
      <w:r w:rsidRPr="007519F9">
        <w:rPr>
          <w:rFonts w:cs="Arial"/>
        </w:rPr>
        <w:t xml:space="preserve">Review and agree the </w:t>
      </w:r>
      <w:r w:rsidRPr="001055B9">
        <w:rPr>
          <w:rFonts w:cs="Arial"/>
          <w:b/>
        </w:rPr>
        <w:t>scope of practice</w:t>
      </w:r>
      <w:r w:rsidRPr="007519F9">
        <w:rPr>
          <w:rFonts w:cs="Arial"/>
        </w:rPr>
        <w:t xml:space="preserve"> for the non-medical prescribers before submitting the completed scope of practice form to the </w:t>
      </w:r>
      <w:r w:rsidR="003B723E">
        <w:rPr>
          <w:rFonts w:cs="Arial"/>
        </w:rPr>
        <w:t>M</w:t>
      </w:r>
      <w:r w:rsidR="003B723E" w:rsidRPr="007519F9">
        <w:rPr>
          <w:rFonts w:cs="Arial"/>
        </w:rPr>
        <w:t>edicines</w:t>
      </w:r>
      <w:r w:rsidRPr="007519F9">
        <w:rPr>
          <w:rFonts w:cs="Arial"/>
        </w:rPr>
        <w:t xml:space="preserve"> Optimisation Team </w:t>
      </w:r>
      <w:r w:rsidRPr="001055B9">
        <w:rPr>
          <w:rFonts w:cs="Arial"/>
          <w:b/>
        </w:rPr>
        <w:t>(Appendix</w:t>
      </w:r>
      <w:r w:rsidR="001055B9" w:rsidRPr="001055B9">
        <w:rPr>
          <w:rFonts w:cs="Arial"/>
          <w:b/>
        </w:rPr>
        <w:t xml:space="preserve"> </w:t>
      </w:r>
      <w:r w:rsidR="00DB5B34">
        <w:rPr>
          <w:rFonts w:cs="Arial"/>
          <w:b/>
        </w:rPr>
        <w:t>IV</w:t>
      </w:r>
      <w:r w:rsidRPr="001055B9">
        <w:rPr>
          <w:rFonts w:cs="Arial"/>
          <w:b/>
        </w:rPr>
        <w:t>)</w:t>
      </w:r>
      <w:r w:rsidR="001055B9">
        <w:rPr>
          <w:rFonts w:cs="Arial"/>
          <w:b/>
        </w:rPr>
        <w:t>.</w:t>
      </w:r>
    </w:p>
    <w:p w14:paraId="2EAAEE9D" w14:textId="77777777" w:rsidR="007519F9" w:rsidRPr="007519F9" w:rsidRDefault="007519F9" w:rsidP="004A15C9">
      <w:pPr>
        <w:numPr>
          <w:ilvl w:val="0"/>
          <w:numId w:val="6"/>
        </w:numPr>
        <w:spacing w:before="0" w:after="0" w:line="259" w:lineRule="auto"/>
        <w:rPr>
          <w:rFonts w:cs="Arial"/>
        </w:rPr>
      </w:pPr>
      <w:r w:rsidRPr="007519F9">
        <w:rPr>
          <w:rFonts w:cs="Arial"/>
        </w:rPr>
        <w:t xml:space="preserve">Prescribing is reviewed regularly, including updating the scope of practice and </w:t>
      </w:r>
      <w:r w:rsidR="00DD2DB1" w:rsidRPr="007519F9">
        <w:rPr>
          <w:rFonts w:cs="Arial"/>
        </w:rPr>
        <w:t>reflection</w:t>
      </w:r>
      <w:r w:rsidRPr="007519F9">
        <w:rPr>
          <w:rFonts w:cs="Arial"/>
        </w:rPr>
        <w:t xml:space="preserve"> any changes in clinical areas and competencies. Details of the NMPs prescribing will need to be provided upon request by the Medicines Optimisation Team</w:t>
      </w:r>
    </w:p>
    <w:p w14:paraId="6E90B65A" w14:textId="77777777" w:rsidR="007519F9" w:rsidRPr="007519F9" w:rsidRDefault="007519F9" w:rsidP="004A15C9">
      <w:pPr>
        <w:numPr>
          <w:ilvl w:val="0"/>
          <w:numId w:val="6"/>
        </w:numPr>
        <w:spacing w:before="0" w:after="0" w:line="259" w:lineRule="auto"/>
        <w:rPr>
          <w:rFonts w:cs="Arial"/>
        </w:rPr>
      </w:pPr>
      <w:r w:rsidRPr="007519F9">
        <w:rPr>
          <w:rFonts w:cs="Arial"/>
        </w:rPr>
        <w:t>Non–medical prescribers have access to continuing education and continuing professional development opportunities and are supported by medical prescribers within the practice</w:t>
      </w:r>
    </w:p>
    <w:p w14:paraId="40B0992D" w14:textId="77777777" w:rsidR="007519F9" w:rsidRPr="007519F9" w:rsidRDefault="007519F9" w:rsidP="004A15C9">
      <w:pPr>
        <w:numPr>
          <w:ilvl w:val="0"/>
          <w:numId w:val="6"/>
        </w:numPr>
        <w:spacing w:before="0" w:after="0" w:line="259" w:lineRule="auto"/>
        <w:rPr>
          <w:rFonts w:cs="Arial"/>
        </w:rPr>
      </w:pPr>
      <w:r w:rsidRPr="007519F9">
        <w:rPr>
          <w:rFonts w:cs="Arial"/>
        </w:rPr>
        <w:t xml:space="preserve">Monitor the Non-Medical Prescriber’s continuing professional development portfolio at agreed intervals and at least once a year </w:t>
      </w:r>
    </w:p>
    <w:p w14:paraId="51F11E33" w14:textId="77777777" w:rsidR="007519F9" w:rsidRPr="007519F9" w:rsidRDefault="007519F9" w:rsidP="004A15C9">
      <w:pPr>
        <w:numPr>
          <w:ilvl w:val="0"/>
          <w:numId w:val="6"/>
        </w:numPr>
        <w:spacing w:before="0" w:after="0" w:line="259" w:lineRule="auto"/>
        <w:rPr>
          <w:rFonts w:cs="Arial"/>
        </w:rPr>
      </w:pPr>
      <w:r w:rsidRPr="007519F9">
        <w:rPr>
          <w:rFonts w:cs="Arial"/>
        </w:rPr>
        <w:t>Accurate details of the NMP are provided to the Medicines Optimisation Team to enable registration with the NHS Business Services Authority before prescribing by the NMP commences prescribing</w:t>
      </w:r>
    </w:p>
    <w:p w14:paraId="2A2075FA" w14:textId="77777777" w:rsidR="007519F9" w:rsidRDefault="007519F9" w:rsidP="004A15C9">
      <w:pPr>
        <w:numPr>
          <w:ilvl w:val="0"/>
          <w:numId w:val="6"/>
        </w:numPr>
        <w:spacing w:before="0" w:after="0" w:line="259" w:lineRule="auto"/>
        <w:rPr>
          <w:rFonts w:cs="Arial"/>
        </w:rPr>
      </w:pPr>
      <w:r w:rsidRPr="007519F9">
        <w:rPr>
          <w:rFonts w:cs="Arial"/>
        </w:rPr>
        <w:t xml:space="preserve">Where necessary any anomalies or issues </w:t>
      </w:r>
      <w:r w:rsidR="00CB66BD" w:rsidRPr="007519F9">
        <w:rPr>
          <w:rFonts w:cs="Arial"/>
        </w:rPr>
        <w:t>in prescribing</w:t>
      </w:r>
      <w:r w:rsidRPr="007519F9">
        <w:rPr>
          <w:rFonts w:cs="Arial"/>
        </w:rPr>
        <w:t xml:space="preserve"> practice must be investigated and findings reported to the Medicines Optimisation Team</w:t>
      </w:r>
    </w:p>
    <w:p w14:paraId="3A5ABD6E" w14:textId="77777777" w:rsidR="004973FD" w:rsidRPr="00DD2DB1" w:rsidRDefault="004973FD" w:rsidP="004973FD">
      <w:pPr>
        <w:numPr>
          <w:ilvl w:val="0"/>
          <w:numId w:val="6"/>
        </w:numPr>
        <w:spacing w:before="0" w:after="0" w:line="259" w:lineRule="auto"/>
        <w:rPr>
          <w:rFonts w:cs="Arial"/>
        </w:rPr>
      </w:pPr>
      <w:r w:rsidRPr="00DD2DB1">
        <w:rPr>
          <w:rFonts w:cs="Arial"/>
        </w:rPr>
        <w:t>Notify the Medicine Optimisation Team when the Prescriber leaves the practice, using the form in Appendix VI</w:t>
      </w:r>
    </w:p>
    <w:p w14:paraId="4621F4FC" w14:textId="77777777" w:rsidR="004973FD" w:rsidRDefault="004973FD" w:rsidP="004973FD">
      <w:pPr>
        <w:numPr>
          <w:ilvl w:val="0"/>
          <w:numId w:val="6"/>
        </w:numPr>
        <w:spacing w:before="0" w:after="0" w:line="259" w:lineRule="auto"/>
        <w:rPr>
          <w:rFonts w:cs="Arial"/>
        </w:rPr>
      </w:pPr>
      <w:r w:rsidRPr="007519F9">
        <w:rPr>
          <w:rFonts w:cs="Arial"/>
        </w:rPr>
        <w:t xml:space="preserve">Processes are in place to ensure a robust clinical governance infrastructure </w:t>
      </w:r>
      <w:r w:rsidR="00CB66BD" w:rsidRPr="007519F9">
        <w:rPr>
          <w:rFonts w:cs="Arial"/>
        </w:rPr>
        <w:t>including Disclosure</w:t>
      </w:r>
      <w:r w:rsidRPr="007519F9">
        <w:rPr>
          <w:rFonts w:cs="Arial"/>
        </w:rPr>
        <w:t xml:space="preserve"> and Barring Service (DBS) checks and evidence of up-to-date registration with the relevant professional body to enable the registrant to prescribe once qualified</w:t>
      </w:r>
    </w:p>
    <w:p w14:paraId="1FC04117" w14:textId="77777777" w:rsidR="00021CBD" w:rsidRDefault="00021CBD" w:rsidP="00021CBD">
      <w:pPr>
        <w:spacing w:before="0" w:after="0" w:line="259" w:lineRule="auto"/>
        <w:rPr>
          <w:rFonts w:cs="Arial"/>
        </w:rPr>
      </w:pPr>
    </w:p>
    <w:p w14:paraId="2D8DC528" w14:textId="77777777" w:rsidR="00021CBD" w:rsidRPr="007519F9" w:rsidRDefault="00021CBD" w:rsidP="004973FD">
      <w:pPr>
        <w:spacing w:before="0" w:after="0"/>
        <w:jc w:val="left"/>
        <w:rPr>
          <w:rFonts w:cs="Arial"/>
        </w:rPr>
      </w:pPr>
      <w:r>
        <w:rPr>
          <w:rFonts w:cs="Arial"/>
        </w:rPr>
        <w:br w:type="page"/>
      </w:r>
    </w:p>
    <w:p w14:paraId="32D1530B" w14:textId="77777777" w:rsidR="00297D66" w:rsidRPr="0070797B" w:rsidRDefault="00297D66" w:rsidP="004A15C9">
      <w:pPr>
        <w:pStyle w:val="Heading2"/>
        <w:numPr>
          <w:ilvl w:val="1"/>
          <w:numId w:val="33"/>
        </w:numPr>
        <w:ind w:left="284"/>
        <w:jc w:val="left"/>
        <w:rPr>
          <w:color w:val="2F5496"/>
        </w:rPr>
      </w:pPr>
      <w:bookmarkStart w:id="14" w:name="_Toc39152523"/>
      <w:bookmarkStart w:id="15" w:name="_Toc46843646"/>
      <w:r w:rsidRPr="0070797B">
        <w:rPr>
          <w:color w:val="2F5496"/>
        </w:rPr>
        <w:lastRenderedPageBreak/>
        <w:t>Non-medical prescriber responsibilities</w:t>
      </w:r>
      <w:bookmarkEnd w:id="14"/>
      <w:bookmarkEnd w:id="15"/>
      <w:r w:rsidRPr="0070797B">
        <w:rPr>
          <w:color w:val="2F5496"/>
        </w:rPr>
        <w:t xml:space="preserve"> </w:t>
      </w:r>
    </w:p>
    <w:p w14:paraId="236B99BA" w14:textId="77777777" w:rsidR="00297D66" w:rsidRPr="00297D66" w:rsidRDefault="00297D66" w:rsidP="00297D66">
      <w:pPr>
        <w:spacing w:before="0" w:after="0" w:line="259" w:lineRule="auto"/>
        <w:rPr>
          <w:rFonts w:cs="Arial"/>
        </w:rPr>
      </w:pPr>
      <w:r w:rsidRPr="00297D66">
        <w:rPr>
          <w:rFonts w:cs="Arial"/>
        </w:rPr>
        <w:t>The Non-Medical Prescriber is responsible for:</w:t>
      </w:r>
    </w:p>
    <w:p w14:paraId="71F5280B" w14:textId="77777777" w:rsidR="00297D66" w:rsidRPr="00297D66" w:rsidRDefault="00297D66" w:rsidP="004A15C9">
      <w:pPr>
        <w:numPr>
          <w:ilvl w:val="0"/>
          <w:numId w:val="8"/>
        </w:numPr>
        <w:spacing w:before="0" w:after="0" w:line="259" w:lineRule="auto"/>
        <w:rPr>
          <w:rFonts w:cs="Arial"/>
        </w:rPr>
      </w:pPr>
      <w:r w:rsidRPr="00297D66">
        <w:rPr>
          <w:rFonts w:cs="Arial"/>
        </w:rPr>
        <w:t>Acting in accordance with the standards set by their registering and professional regulatory bodies for prescribing and complying with their registration requirements</w:t>
      </w:r>
    </w:p>
    <w:p w14:paraId="650E2607" w14:textId="77777777" w:rsidR="00297D66" w:rsidRPr="00297D66" w:rsidRDefault="00297D66" w:rsidP="004A15C9">
      <w:pPr>
        <w:numPr>
          <w:ilvl w:val="0"/>
          <w:numId w:val="8"/>
        </w:numPr>
        <w:spacing w:before="0" w:after="0" w:line="259" w:lineRule="auto"/>
        <w:rPr>
          <w:rFonts w:cs="Arial"/>
        </w:rPr>
      </w:pPr>
      <w:r w:rsidRPr="00297D66">
        <w:rPr>
          <w:rFonts w:cs="Arial"/>
        </w:rPr>
        <w:t xml:space="preserve">Adhering to </w:t>
      </w:r>
      <w:proofErr w:type="gramStart"/>
      <w:r w:rsidRPr="00297D66">
        <w:rPr>
          <w:rFonts w:cs="Arial"/>
        </w:rPr>
        <w:t>their</w:t>
      </w:r>
      <w:proofErr w:type="gramEnd"/>
      <w:r w:rsidRPr="00297D66">
        <w:rPr>
          <w:rFonts w:cs="Arial"/>
        </w:rPr>
        <w:t xml:space="preserve"> to their employing / contracting organisation and policies on non-medical prescribing</w:t>
      </w:r>
    </w:p>
    <w:p w14:paraId="6AD5DA71" w14:textId="77777777" w:rsidR="00297D66" w:rsidRPr="00297D66" w:rsidRDefault="00297D66" w:rsidP="004A15C9">
      <w:pPr>
        <w:numPr>
          <w:ilvl w:val="0"/>
          <w:numId w:val="8"/>
        </w:numPr>
        <w:spacing w:before="0" w:after="0" w:line="259" w:lineRule="auto"/>
        <w:rPr>
          <w:rFonts w:cs="Arial"/>
        </w:rPr>
      </w:pPr>
      <w:r w:rsidRPr="00297D66">
        <w:rPr>
          <w:rFonts w:cs="Arial"/>
        </w:rPr>
        <w:t xml:space="preserve">Working in line with local policies and guidelines ratified by their employing organisation including Medicines Optimisation schemes and prescribing dashboards available via the </w:t>
      </w:r>
      <w:r w:rsidR="003B723E">
        <w:rPr>
          <w:rFonts w:cs="Arial"/>
        </w:rPr>
        <w:t xml:space="preserve">GP </w:t>
      </w:r>
      <w:r w:rsidRPr="00297D66">
        <w:rPr>
          <w:rFonts w:cs="Arial"/>
        </w:rPr>
        <w:t>Portal</w:t>
      </w:r>
      <w:r w:rsidR="003B723E">
        <w:rPr>
          <w:rFonts w:cs="Arial"/>
        </w:rPr>
        <w:t>s</w:t>
      </w:r>
      <w:r w:rsidRPr="00297D66">
        <w:rPr>
          <w:rFonts w:cs="Arial"/>
        </w:rPr>
        <w:t xml:space="preserve"> or evidence-based national guidance approved locally e.g. NICE </w:t>
      </w:r>
    </w:p>
    <w:p w14:paraId="292A2394" w14:textId="77777777" w:rsidR="00297D66" w:rsidRPr="00297D66" w:rsidRDefault="00297D66" w:rsidP="004A15C9">
      <w:pPr>
        <w:numPr>
          <w:ilvl w:val="0"/>
          <w:numId w:val="8"/>
        </w:numPr>
        <w:spacing w:before="0" w:after="0" w:line="259" w:lineRule="auto"/>
        <w:rPr>
          <w:rFonts w:cs="Arial"/>
        </w:rPr>
      </w:pPr>
      <w:r w:rsidRPr="00297D66">
        <w:rPr>
          <w:rFonts w:cs="Arial"/>
        </w:rPr>
        <w:t>Acting within their professional competence and expertise when prescribing and not beyond the boundaries of their scope of practice</w:t>
      </w:r>
    </w:p>
    <w:p w14:paraId="50A3A86D" w14:textId="77777777" w:rsidR="00297D66" w:rsidRPr="00297D66" w:rsidRDefault="00297D66" w:rsidP="004A15C9">
      <w:pPr>
        <w:numPr>
          <w:ilvl w:val="0"/>
          <w:numId w:val="8"/>
        </w:numPr>
        <w:spacing w:before="0" w:after="0" w:line="259" w:lineRule="auto"/>
        <w:rPr>
          <w:rFonts w:cs="Arial"/>
        </w:rPr>
      </w:pPr>
      <w:r w:rsidRPr="00297D66">
        <w:rPr>
          <w:rFonts w:cs="Arial"/>
        </w:rPr>
        <w:t>Keeping and maintaining accurate, legible, unambiguous and contemporaneous records of patients’ care</w:t>
      </w:r>
    </w:p>
    <w:p w14:paraId="31813843" w14:textId="77777777" w:rsidR="00297D66" w:rsidRPr="00297D66" w:rsidRDefault="00297D66" w:rsidP="004A15C9">
      <w:pPr>
        <w:numPr>
          <w:ilvl w:val="0"/>
          <w:numId w:val="8"/>
        </w:numPr>
        <w:spacing w:before="0" w:after="0" w:line="259" w:lineRule="auto"/>
        <w:rPr>
          <w:rFonts w:cs="Arial"/>
        </w:rPr>
      </w:pPr>
      <w:r w:rsidRPr="00297D66">
        <w:rPr>
          <w:rFonts w:cs="Arial"/>
        </w:rPr>
        <w:t>Ensuring that prescriptions are written legibly and legally</w:t>
      </w:r>
    </w:p>
    <w:p w14:paraId="455833F0" w14:textId="77777777" w:rsidR="00297D66" w:rsidRPr="00297D66" w:rsidRDefault="00297D66" w:rsidP="004A15C9">
      <w:pPr>
        <w:numPr>
          <w:ilvl w:val="0"/>
          <w:numId w:val="8"/>
        </w:numPr>
        <w:spacing w:before="0" w:after="0" w:line="259" w:lineRule="auto"/>
        <w:rPr>
          <w:rFonts w:cs="Arial"/>
        </w:rPr>
      </w:pPr>
      <w:r w:rsidRPr="00297D66">
        <w:rPr>
          <w:rFonts w:cs="Arial"/>
        </w:rPr>
        <w:t>Having appropriate indemnity insurance</w:t>
      </w:r>
    </w:p>
    <w:p w14:paraId="63CD509B" w14:textId="77777777" w:rsidR="00297D66" w:rsidRPr="00297D66" w:rsidRDefault="00297D66" w:rsidP="004A15C9">
      <w:pPr>
        <w:numPr>
          <w:ilvl w:val="0"/>
          <w:numId w:val="8"/>
        </w:numPr>
        <w:spacing w:before="0" w:after="0" w:line="259" w:lineRule="auto"/>
        <w:rPr>
          <w:rFonts w:cs="Arial"/>
        </w:rPr>
      </w:pPr>
      <w:r w:rsidRPr="00297D66">
        <w:rPr>
          <w:rFonts w:cs="Arial"/>
        </w:rPr>
        <w:t xml:space="preserve">Recognising and dealing with pressures (e.g. from the pharmaceutical industry, patients, or colleagues) that might result in inappropriate prescribing and act accordingly. </w:t>
      </w:r>
    </w:p>
    <w:p w14:paraId="569A4304" w14:textId="77777777" w:rsidR="00297D66" w:rsidRPr="00297D66" w:rsidRDefault="00297D66" w:rsidP="004A15C9">
      <w:pPr>
        <w:numPr>
          <w:ilvl w:val="0"/>
          <w:numId w:val="8"/>
        </w:numPr>
        <w:spacing w:before="0" w:after="0" w:line="259" w:lineRule="auto"/>
        <w:rPr>
          <w:rFonts w:cs="Arial"/>
        </w:rPr>
      </w:pPr>
      <w:r w:rsidRPr="00297D66">
        <w:rPr>
          <w:rFonts w:cs="Arial"/>
        </w:rPr>
        <w:t xml:space="preserve">Completing and submitting the </w:t>
      </w:r>
      <w:r w:rsidRPr="001055B9">
        <w:rPr>
          <w:rFonts w:cs="Arial"/>
          <w:b/>
        </w:rPr>
        <w:t xml:space="preserve">Scope </w:t>
      </w:r>
      <w:r w:rsidR="007A0102">
        <w:rPr>
          <w:rFonts w:cs="Arial"/>
          <w:b/>
        </w:rPr>
        <w:t>of</w:t>
      </w:r>
      <w:r w:rsidR="00DB5B34">
        <w:rPr>
          <w:rFonts w:cs="Arial"/>
          <w:b/>
        </w:rPr>
        <w:t xml:space="preserve"> Practice form (see Appendix IV</w:t>
      </w:r>
      <w:r w:rsidRPr="001055B9">
        <w:rPr>
          <w:rFonts w:cs="Arial"/>
          <w:b/>
        </w:rPr>
        <w:t>)</w:t>
      </w:r>
      <w:r w:rsidRPr="00297D66">
        <w:rPr>
          <w:rFonts w:cs="Arial"/>
        </w:rPr>
        <w:t xml:space="preserve"> which details the therapeutic areas for which they intend to prescribe, to their employer and the Medicines Optimisation Team. This should be completed for each practice where the Non-Medical Prescriber is intending to prescribe.</w:t>
      </w:r>
    </w:p>
    <w:p w14:paraId="7709E231" w14:textId="77777777" w:rsidR="00297D66" w:rsidRPr="00297D66" w:rsidRDefault="00297D66" w:rsidP="004A15C9">
      <w:pPr>
        <w:numPr>
          <w:ilvl w:val="0"/>
          <w:numId w:val="8"/>
        </w:numPr>
        <w:spacing w:before="0" w:after="0" w:line="259" w:lineRule="auto"/>
        <w:rPr>
          <w:rFonts w:cs="Arial"/>
        </w:rPr>
      </w:pPr>
      <w:r w:rsidRPr="00297D66">
        <w:rPr>
          <w:rFonts w:cs="Arial"/>
        </w:rPr>
        <w:t xml:space="preserve">Providing evidence based, safe and </w:t>
      </w:r>
      <w:r w:rsidR="003B723E" w:rsidRPr="00297D66">
        <w:rPr>
          <w:rFonts w:cs="Arial"/>
        </w:rPr>
        <w:t>cost-effective</w:t>
      </w:r>
      <w:r w:rsidRPr="00297D66">
        <w:rPr>
          <w:rFonts w:cs="Arial"/>
        </w:rPr>
        <w:t xml:space="preserve"> prescribing to their patients at all times in line with the local </w:t>
      </w:r>
      <w:proofErr w:type="gramStart"/>
      <w:r w:rsidRPr="00297D66">
        <w:rPr>
          <w:rFonts w:cs="Arial"/>
        </w:rPr>
        <w:t>medicines</w:t>
      </w:r>
      <w:proofErr w:type="gramEnd"/>
      <w:r w:rsidRPr="00297D66">
        <w:rPr>
          <w:rFonts w:cs="Arial"/>
        </w:rPr>
        <w:t xml:space="preserve"> formulary</w:t>
      </w:r>
    </w:p>
    <w:p w14:paraId="513767AA" w14:textId="77777777" w:rsidR="00297D66" w:rsidRPr="00297D66" w:rsidRDefault="00297D66" w:rsidP="004A15C9">
      <w:pPr>
        <w:numPr>
          <w:ilvl w:val="0"/>
          <w:numId w:val="8"/>
        </w:numPr>
        <w:spacing w:before="0" w:after="0" w:line="259" w:lineRule="auto"/>
        <w:rPr>
          <w:rFonts w:cs="Arial"/>
        </w:rPr>
      </w:pPr>
      <w:r w:rsidRPr="00297D66">
        <w:rPr>
          <w:rFonts w:cs="Arial"/>
        </w:rPr>
        <w:t xml:space="preserve">Ensuring that patients are made aware of the scope and limits of non-medical prescribing and to ensure patients understand their rights in relation to non-medical prescribing (including the right to refuse) </w:t>
      </w:r>
    </w:p>
    <w:p w14:paraId="5590B3F5" w14:textId="77777777" w:rsidR="00297D66" w:rsidRPr="00297D66" w:rsidRDefault="00297D66" w:rsidP="004A15C9">
      <w:pPr>
        <w:numPr>
          <w:ilvl w:val="0"/>
          <w:numId w:val="8"/>
        </w:numPr>
        <w:spacing w:before="0" w:after="0" w:line="259" w:lineRule="auto"/>
        <w:rPr>
          <w:rFonts w:cs="Arial"/>
        </w:rPr>
      </w:pPr>
      <w:r w:rsidRPr="00297D66">
        <w:rPr>
          <w:rFonts w:cs="Arial"/>
        </w:rPr>
        <w:t xml:space="preserve">Maintaining a portfolio of their Continuing Professional Development &amp; identifying individual training and development needs with the employing practice. It is the responsibility of the individual to ensure they are up to date on therapeutics in their area of practice and changes in national and local policies, guidance, medicines optimisation initiatives and safety updates.  </w:t>
      </w:r>
    </w:p>
    <w:p w14:paraId="2B54979F" w14:textId="77777777" w:rsidR="00297D66" w:rsidRPr="00297D66" w:rsidRDefault="00297D66" w:rsidP="004A15C9">
      <w:pPr>
        <w:numPr>
          <w:ilvl w:val="0"/>
          <w:numId w:val="8"/>
        </w:numPr>
        <w:spacing w:before="0" w:after="0" w:line="259" w:lineRule="auto"/>
        <w:rPr>
          <w:rFonts w:cs="Arial"/>
        </w:rPr>
      </w:pPr>
      <w:r w:rsidRPr="00297D66">
        <w:rPr>
          <w:rFonts w:cs="Arial"/>
        </w:rPr>
        <w:t>Adhering to relevant professional prescribing guidance and standards outlined by professional regulatory bodies</w:t>
      </w:r>
    </w:p>
    <w:p w14:paraId="67496B87" w14:textId="77777777" w:rsidR="00297D66" w:rsidRPr="00297D66" w:rsidRDefault="00297D66" w:rsidP="004A15C9">
      <w:pPr>
        <w:numPr>
          <w:ilvl w:val="0"/>
          <w:numId w:val="8"/>
        </w:numPr>
        <w:spacing w:before="0" w:after="0" w:line="259" w:lineRule="auto"/>
        <w:rPr>
          <w:rFonts w:cs="Arial"/>
        </w:rPr>
      </w:pPr>
      <w:r w:rsidRPr="00297D66">
        <w:rPr>
          <w:rFonts w:cs="Arial"/>
        </w:rPr>
        <w:t xml:space="preserve">Ensuring their prescribing data is reviewed regularly and discussed with the Designated Prescribing Practitioner (DPP) and that prescribing reflects the competencies as defined in the Scope of Practice Form </w:t>
      </w:r>
    </w:p>
    <w:p w14:paraId="06AEFFCD" w14:textId="77777777" w:rsidR="00297D66" w:rsidRPr="00297D66" w:rsidRDefault="00297D66" w:rsidP="004A15C9">
      <w:pPr>
        <w:numPr>
          <w:ilvl w:val="0"/>
          <w:numId w:val="8"/>
        </w:numPr>
        <w:spacing w:before="0" w:after="0" w:line="259" w:lineRule="auto"/>
        <w:rPr>
          <w:rFonts w:cs="Arial"/>
        </w:rPr>
      </w:pPr>
      <w:r w:rsidRPr="00297D66">
        <w:rPr>
          <w:rFonts w:cs="Arial"/>
        </w:rPr>
        <w:t xml:space="preserve">Updating their scope of practice form where competencies change following appropriate training and agreement with DPP. </w:t>
      </w:r>
    </w:p>
    <w:p w14:paraId="02980237" w14:textId="77777777" w:rsidR="00297D66" w:rsidRPr="00297D66" w:rsidRDefault="00297D66" w:rsidP="004A15C9">
      <w:pPr>
        <w:numPr>
          <w:ilvl w:val="0"/>
          <w:numId w:val="8"/>
        </w:numPr>
        <w:spacing w:before="0" w:after="0" w:line="259" w:lineRule="auto"/>
        <w:rPr>
          <w:rFonts w:cs="Arial"/>
        </w:rPr>
      </w:pPr>
      <w:r w:rsidRPr="00297D66">
        <w:rPr>
          <w:rFonts w:cs="Arial"/>
        </w:rPr>
        <w:t>Submitting updated Scope of practice forms to the Medicines Optimisation Team.</w:t>
      </w:r>
    </w:p>
    <w:p w14:paraId="1C99A7F0" w14:textId="77777777" w:rsidR="00297D66" w:rsidRDefault="00297D66" w:rsidP="004A15C9">
      <w:pPr>
        <w:numPr>
          <w:ilvl w:val="0"/>
          <w:numId w:val="8"/>
        </w:numPr>
        <w:spacing w:before="0" w:after="0" w:line="259" w:lineRule="auto"/>
        <w:rPr>
          <w:rFonts w:cs="Arial"/>
        </w:rPr>
      </w:pPr>
      <w:r w:rsidRPr="00297D66">
        <w:rPr>
          <w:rFonts w:cs="Arial"/>
        </w:rPr>
        <w:t>Utilising prescribing support software such as ScriptSwitch®</w:t>
      </w:r>
    </w:p>
    <w:p w14:paraId="4DCC5F42" w14:textId="77777777" w:rsidR="00021CBD" w:rsidRDefault="00021CBD">
      <w:pPr>
        <w:spacing w:before="0" w:after="0"/>
        <w:jc w:val="left"/>
        <w:rPr>
          <w:rFonts w:cs="Arial"/>
        </w:rPr>
      </w:pPr>
      <w:r>
        <w:rPr>
          <w:rFonts w:cs="Arial"/>
        </w:rPr>
        <w:br w:type="page"/>
      </w:r>
    </w:p>
    <w:p w14:paraId="346F32E1" w14:textId="77777777" w:rsidR="001055B9" w:rsidRDefault="001055B9" w:rsidP="001055B9">
      <w:pPr>
        <w:spacing w:before="0" w:after="0" w:line="259" w:lineRule="auto"/>
        <w:rPr>
          <w:rFonts w:cs="Arial"/>
          <w:b/>
        </w:rPr>
      </w:pPr>
      <w:r>
        <w:rPr>
          <w:rFonts w:cs="Arial"/>
          <w:b/>
        </w:rPr>
        <w:lastRenderedPageBreak/>
        <w:t>Useful Links:</w:t>
      </w:r>
    </w:p>
    <w:p w14:paraId="28FFBBA7" w14:textId="77777777" w:rsidR="001055B9" w:rsidRDefault="001055B9" w:rsidP="001055B9">
      <w:pPr>
        <w:spacing w:before="0" w:after="0" w:line="259" w:lineRule="auto"/>
        <w:rPr>
          <w:rFonts w:cs="Arial"/>
          <w:b/>
        </w:rPr>
      </w:pPr>
    </w:p>
    <w:p w14:paraId="75CECE4E" w14:textId="77777777" w:rsidR="001055B9" w:rsidRDefault="00CF2869" w:rsidP="004A15C9">
      <w:pPr>
        <w:numPr>
          <w:ilvl w:val="0"/>
          <w:numId w:val="9"/>
        </w:numPr>
        <w:spacing w:before="0" w:after="0" w:line="259" w:lineRule="auto"/>
        <w:rPr>
          <w:rFonts w:cs="Arial"/>
          <w:b/>
        </w:rPr>
      </w:pPr>
      <w:hyperlink r:id="rId29" w:history="1">
        <w:r w:rsidR="001055B9" w:rsidRPr="001055B9">
          <w:rPr>
            <w:rStyle w:val="Hyperlink"/>
            <w:rFonts w:cs="Arial"/>
            <w:b/>
          </w:rPr>
          <w:t>Nursing and Midwifery Council</w:t>
        </w:r>
        <w:r w:rsidR="001055B9">
          <w:rPr>
            <w:rStyle w:val="Hyperlink"/>
            <w:rFonts w:cs="Arial"/>
            <w:b/>
          </w:rPr>
          <w:t xml:space="preserve"> (NMC)</w:t>
        </w:r>
        <w:r w:rsidR="001055B9" w:rsidRPr="001055B9">
          <w:rPr>
            <w:rStyle w:val="Hyperlink"/>
            <w:rFonts w:cs="Arial"/>
            <w:b/>
          </w:rPr>
          <w:t xml:space="preserve"> Standards of proficiency for nurse and midwife prescribers</w:t>
        </w:r>
      </w:hyperlink>
      <w:r w:rsidR="00415801">
        <w:rPr>
          <w:rFonts w:cs="Arial"/>
          <w:b/>
          <w:vertAlign w:val="superscript"/>
        </w:rPr>
        <w:t>10</w:t>
      </w:r>
    </w:p>
    <w:p w14:paraId="19CD81F8" w14:textId="77777777" w:rsidR="001055B9" w:rsidRDefault="00CF2869" w:rsidP="004A15C9">
      <w:pPr>
        <w:numPr>
          <w:ilvl w:val="0"/>
          <w:numId w:val="9"/>
        </w:numPr>
        <w:spacing w:before="0" w:after="0" w:line="259" w:lineRule="auto"/>
        <w:rPr>
          <w:rFonts w:cs="Arial"/>
          <w:b/>
        </w:rPr>
      </w:pPr>
      <w:hyperlink r:id="rId30" w:history="1">
        <w:r w:rsidR="001055B9" w:rsidRPr="001055B9">
          <w:rPr>
            <w:rStyle w:val="Hyperlink"/>
            <w:rFonts w:cs="Arial"/>
            <w:b/>
          </w:rPr>
          <w:t>General Pharmaceutical Council</w:t>
        </w:r>
        <w:r w:rsidR="001055B9">
          <w:rPr>
            <w:rStyle w:val="Hyperlink"/>
            <w:rFonts w:cs="Arial"/>
            <w:b/>
          </w:rPr>
          <w:t xml:space="preserve"> (</w:t>
        </w:r>
        <w:proofErr w:type="spellStart"/>
        <w:r w:rsidR="001055B9">
          <w:rPr>
            <w:rStyle w:val="Hyperlink"/>
            <w:rFonts w:cs="Arial"/>
            <w:b/>
          </w:rPr>
          <w:t>GPhC</w:t>
        </w:r>
        <w:proofErr w:type="spellEnd"/>
        <w:r w:rsidR="001055B9">
          <w:rPr>
            <w:rStyle w:val="Hyperlink"/>
            <w:rFonts w:cs="Arial"/>
            <w:b/>
          </w:rPr>
          <w:t>)</w:t>
        </w:r>
        <w:r w:rsidR="001055B9" w:rsidRPr="001055B9">
          <w:rPr>
            <w:rStyle w:val="Hyperlink"/>
            <w:rFonts w:cs="Arial"/>
            <w:b/>
          </w:rPr>
          <w:t xml:space="preserve"> Standards for Pharmacy Professionals</w:t>
        </w:r>
      </w:hyperlink>
      <w:r w:rsidR="00415801">
        <w:rPr>
          <w:rFonts w:cs="Arial"/>
          <w:b/>
          <w:vertAlign w:val="superscript"/>
        </w:rPr>
        <w:t>11</w:t>
      </w:r>
    </w:p>
    <w:p w14:paraId="7BFFD5D7" w14:textId="77777777" w:rsidR="001055B9" w:rsidRDefault="00CF2869" w:rsidP="004A15C9">
      <w:pPr>
        <w:numPr>
          <w:ilvl w:val="0"/>
          <w:numId w:val="9"/>
        </w:numPr>
        <w:spacing w:before="0" w:after="0" w:line="259" w:lineRule="auto"/>
        <w:rPr>
          <w:rFonts w:cs="Arial"/>
          <w:b/>
        </w:rPr>
      </w:pPr>
      <w:hyperlink r:id="rId31" w:history="1">
        <w:r w:rsidR="001055B9" w:rsidRPr="001055B9">
          <w:rPr>
            <w:rStyle w:val="Hyperlink"/>
            <w:rFonts w:cs="Arial"/>
            <w:b/>
          </w:rPr>
          <w:t>General Medical Council (GMC) Good practice in prescribing and managing medicines and devices</w:t>
        </w:r>
      </w:hyperlink>
      <w:r w:rsidR="00415801">
        <w:rPr>
          <w:rFonts w:cs="Arial"/>
          <w:b/>
          <w:vertAlign w:val="superscript"/>
        </w:rPr>
        <w:t>12</w:t>
      </w:r>
    </w:p>
    <w:p w14:paraId="20BB95A3" w14:textId="77777777" w:rsidR="001055B9" w:rsidRDefault="001055B9" w:rsidP="001055B9">
      <w:pPr>
        <w:spacing w:before="0" w:after="0" w:line="259" w:lineRule="auto"/>
        <w:ind w:left="720"/>
        <w:rPr>
          <w:rFonts w:cs="Arial"/>
          <w:b/>
        </w:rPr>
      </w:pPr>
    </w:p>
    <w:p w14:paraId="576863DB" w14:textId="77777777" w:rsidR="001055B9" w:rsidRPr="0070797B" w:rsidRDefault="001055B9" w:rsidP="00644D19">
      <w:pPr>
        <w:pStyle w:val="Heading2"/>
        <w:jc w:val="left"/>
        <w:rPr>
          <w:color w:val="2F5496"/>
        </w:rPr>
      </w:pPr>
      <w:bookmarkStart w:id="16" w:name="_Toc39152524"/>
      <w:bookmarkStart w:id="17" w:name="_Toc46843647"/>
      <w:r w:rsidRPr="0070797B">
        <w:rPr>
          <w:color w:val="2F5496"/>
        </w:rPr>
        <w:t xml:space="preserve">3.3 Medicines Optimisation Team </w:t>
      </w:r>
      <w:r w:rsidR="00093502" w:rsidRPr="0070797B">
        <w:rPr>
          <w:color w:val="2F5496"/>
        </w:rPr>
        <w:t xml:space="preserve">(MOT) </w:t>
      </w:r>
      <w:r w:rsidRPr="0070797B">
        <w:rPr>
          <w:color w:val="2F5496"/>
        </w:rPr>
        <w:t>responsibilities</w:t>
      </w:r>
      <w:bookmarkEnd w:id="16"/>
      <w:bookmarkEnd w:id="17"/>
    </w:p>
    <w:p w14:paraId="5ACBBA00" w14:textId="77777777" w:rsidR="001055B9" w:rsidRDefault="001055B9" w:rsidP="001055B9">
      <w:pPr>
        <w:spacing w:before="0" w:after="0" w:line="259" w:lineRule="auto"/>
        <w:rPr>
          <w:rFonts w:cs="Arial"/>
        </w:rPr>
      </w:pPr>
      <w:r w:rsidRPr="001055B9">
        <w:rPr>
          <w:rFonts w:cs="Arial"/>
        </w:rPr>
        <w:t>The Medicines Optimisation Team are responsible for:</w:t>
      </w:r>
    </w:p>
    <w:p w14:paraId="54AB6BFD" w14:textId="77777777" w:rsidR="001055B9" w:rsidRDefault="001055B9" w:rsidP="004A15C9">
      <w:pPr>
        <w:numPr>
          <w:ilvl w:val="0"/>
          <w:numId w:val="10"/>
        </w:numPr>
        <w:spacing w:before="0" w:after="0" w:line="259" w:lineRule="auto"/>
        <w:rPr>
          <w:rFonts w:cs="Arial"/>
        </w:rPr>
      </w:pPr>
      <w:r w:rsidRPr="001055B9">
        <w:rPr>
          <w:rFonts w:cs="Arial"/>
        </w:rPr>
        <w:t xml:space="preserve">All the governance </w:t>
      </w:r>
      <w:r w:rsidR="004973FD" w:rsidRPr="001055B9">
        <w:rPr>
          <w:rFonts w:cs="Arial"/>
        </w:rPr>
        <w:t>arrangements that</w:t>
      </w:r>
      <w:r w:rsidRPr="001055B9">
        <w:rPr>
          <w:rFonts w:cs="Arial"/>
        </w:rPr>
        <w:t xml:space="preserve"> will ensure up-to-date registration of non-medical prescribers is maintained by the </w:t>
      </w:r>
      <w:r w:rsidR="003B723E">
        <w:rPr>
          <w:rFonts w:cs="Arial"/>
        </w:rPr>
        <w:t xml:space="preserve">Medicines Optimisation Team </w:t>
      </w:r>
      <w:r w:rsidRPr="001055B9">
        <w:rPr>
          <w:rFonts w:cs="Arial"/>
        </w:rPr>
        <w:t>which includes the following</w:t>
      </w:r>
      <w:r w:rsidR="00B73870">
        <w:rPr>
          <w:rFonts w:cs="Arial"/>
        </w:rPr>
        <w:t xml:space="preserve"> activities:</w:t>
      </w:r>
    </w:p>
    <w:p w14:paraId="4F5AA885" w14:textId="77777777" w:rsidR="00B73870" w:rsidRPr="001055B9" w:rsidRDefault="00B73870" w:rsidP="00B73870">
      <w:pPr>
        <w:spacing w:before="0" w:after="0" w:line="259" w:lineRule="auto"/>
        <w:ind w:left="360"/>
        <w:rPr>
          <w:rFonts w:cs="Arial"/>
        </w:rPr>
      </w:pPr>
    </w:p>
    <w:p w14:paraId="63FFC776" w14:textId="77777777" w:rsidR="001055B9" w:rsidRPr="001055B9" w:rsidRDefault="001055B9" w:rsidP="004A15C9">
      <w:pPr>
        <w:numPr>
          <w:ilvl w:val="1"/>
          <w:numId w:val="10"/>
        </w:numPr>
        <w:spacing w:before="0" w:after="0" w:line="259" w:lineRule="auto"/>
        <w:rPr>
          <w:rFonts w:cs="Arial"/>
        </w:rPr>
      </w:pPr>
      <w:r w:rsidRPr="001055B9">
        <w:rPr>
          <w:rFonts w:cs="Arial"/>
        </w:rPr>
        <w:t xml:space="preserve">Registration with NHS Business Services Authority </w:t>
      </w:r>
    </w:p>
    <w:p w14:paraId="6693EF34" w14:textId="77777777" w:rsidR="001055B9" w:rsidRPr="001055B9" w:rsidRDefault="001055B9" w:rsidP="004A15C9">
      <w:pPr>
        <w:numPr>
          <w:ilvl w:val="1"/>
          <w:numId w:val="10"/>
        </w:numPr>
        <w:spacing w:before="0" w:after="0" w:line="259" w:lineRule="auto"/>
        <w:rPr>
          <w:rFonts w:cs="Arial"/>
        </w:rPr>
      </w:pPr>
      <w:r w:rsidRPr="001055B9">
        <w:rPr>
          <w:rFonts w:cs="Arial"/>
        </w:rPr>
        <w:t xml:space="preserve">Maintain a register of non-medical prescribers </w:t>
      </w:r>
    </w:p>
    <w:p w14:paraId="544C88F6" w14:textId="77777777" w:rsidR="001055B9" w:rsidRPr="001055B9" w:rsidRDefault="001055B9" w:rsidP="004A15C9">
      <w:pPr>
        <w:numPr>
          <w:ilvl w:val="1"/>
          <w:numId w:val="10"/>
        </w:numPr>
        <w:spacing w:before="0" w:after="0" w:line="259" w:lineRule="auto"/>
        <w:rPr>
          <w:rFonts w:cs="Arial"/>
        </w:rPr>
      </w:pPr>
      <w:r w:rsidRPr="001055B9">
        <w:rPr>
          <w:rFonts w:cs="Arial"/>
        </w:rPr>
        <w:t xml:space="preserve">Assurance on details of employing organisation and </w:t>
      </w:r>
      <w:r w:rsidR="003B723E" w:rsidRPr="001055B9">
        <w:rPr>
          <w:rFonts w:cs="Arial"/>
        </w:rPr>
        <w:t>practices they</w:t>
      </w:r>
      <w:r w:rsidRPr="001055B9">
        <w:rPr>
          <w:rFonts w:cs="Arial"/>
        </w:rPr>
        <w:t xml:space="preserve"> may work in </w:t>
      </w:r>
    </w:p>
    <w:p w14:paraId="172F34DD" w14:textId="77777777" w:rsidR="001055B9" w:rsidRPr="001055B9" w:rsidRDefault="001055B9" w:rsidP="004A15C9">
      <w:pPr>
        <w:numPr>
          <w:ilvl w:val="1"/>
          <w:numId w:val="10"/>
        </w:numPr>
        <w:spacing w:before="0" w:after="0" w:line="259" w:lineRule="auto"/>
        <w:rPr>
          <w:rFonts w:cs="Arial"/>
        </w:rPr>
      </w:pPr>
      <w:r w:rsidRPr="001055B9">
        <w:rPr>
          <w:rFonts w:cs="Arial"/>
        </w:rPr>
        <w:t xml:space="preserve">Details of lead GP clinician </w:t>
      </w:r>
    </w:p>
    <w:p w14:paraId="090BC08E" w14:textId="77777777" w:rsidR="001055B9" w:rsidRDefault="001055B9" w:rsidP="004A15C9">
      <w:pPr>
        <w:numPr>
          <w:ilvl w:val="1"/>
          <w:numId w:val="10"/>
        </w:numPr>
        <w:spacing w:before="0" w:after="0" w:line="259" w:lineRule="auto"/>
        <w:rPr>
          <w:rFonts w:cs="Arial"/>
        </w:rPr>
      </w:pPr>
      <w:r w:rsidRPr="001055B9">
        <w:rPr>
          <w:rFonts w:cs="Arial"/>
        </w:rPr>
        <w:t xml:space="preserve">Details of scope of competence </w:t>
      </w:r>
    </w:p>
    <w:p w14:paraId="22E6B8E4" w14:textId="77777777" w:rsidR="001055B9" w:rsidRPr="001055B9" w:rsidRDefault="001055B9" w:rsidP="001055B9">
      <w:pPr>
        <w:spacing w:before="0" w:after="0" w:line="259" w:lineRule="auto"/>
        <w:ind w:left="1080"/>
        <w:rPr>
          <w:rFonts w:cs="Arial"/>
        </w:rPr>
      </w:pPr>
    </w:p>
    <w:p w14:paraId="084FCA3D" w14:textId="77777777" w:rsidR="001055B9" w:rsidRPr="001055B9" w:rsidRDefault="001055B9" w:rsidP="004A15C9">
      <w:pPr>
        <w:numPr>
          <w:ilvl w:val="0"/>
          <w:numId w:val="10"/>
        </w:numPr>
        <w:spacing w:before="0" w:after="0" w:line="259" w:lineRule="auto"/>
        <w:rPr>
          <w:rFonts w:cs="Arial"/>
        </w:rPr>
      </w:pPr>
      <w:r w:rsidRPr="001055B9">
        <w:rPr>
          <w:rFonts w:cs="Arial"/>
        </w:rPr>
        <w:t>Providing prescribing data to practices upon request in relation to the non-medical prescribers</w:t>
      </w:r>
    </w:p>
    <w:p w14:paraId="780E3D9B" w14:textId="77777777" w:rsidR="001055B9" w:rsidRPr="001055B9" w:rsidRDefault="001055B9" w:rsidP="004A15C9">
      <w:pPr>
        <w:numPr>
          <w:ilvl w:val="0"/>
          <w:numId w:val="10"/>
        </w:numPr>
        <w:spacing w:before="0" w:after="0" w:line="259" w:lineRule="auto"/>
        <w:rPr>
          <w:rFonts w:cs="Arial"/>
        </w:rPr>
      </w:pPr>
      <w:r w:rsidRPr="001055B9">
        <w:rPr>
          <w:rFonts w:cs="Arial"/>
        </w:rPr>
        <w:t xml:space="preserve">Highlighting any prescribing issues and escalating any issues that arise from non-medical prescribing that have not </w:t>
      </w:r>
      <w:r w:rsidR="003B723E" w:rsidRPr="001055B9">
        <w:rPr>
          <w:rFonts w:cs="Arial"/>
        </w:rPr>
        <w:t>been addressed</w:t>
      </w:r>
      <w:r w:rsidRPr="001055B9">
        <w:rPr>
          <w:rFonts w:cs="Arial"/>
        </w:rPr>
        <w:t xml:space="preserve"> at practice level </w:t>
      </w:r>
    </w:p>
    <w:p w14:paraId="555E4D08" w14:textId="77777777" w:rsidR="001055B9" w:rsidRPr="001055B9" w:rsidRDefault="001055B9" w:rsidP="004A15C9">
      <w:pPr>
        <w:numPr>
          <w:ilvl w:val="0"/>
          <w:numId w:val="10"/>
        </w:numPr>
        <w:spacing w:before="0" w:after="0" w:line="259" w:lineRule="auto"/>
        <w:rPr>
          <w:rFonts w:cs="Arial"/>
        </w:rPr>
      </w:pPr>
      <w:r w:rsidRPr="001055B9">
        <w:rPr>
          <w:rFonts w:cs="Arial"/>
        </w:rPr>
        <w:t>Monitoring of prescribing and responding to prescribing/fitness to practice requests from the NHS England Local Area Team.</w:t>
      </w:r>
    </w:p>
    <w:p w14:paraId="1DBE1123" w14:textId="77777777" w:rsidR="001055B9" w:rsidRPr="001055B9" w:rsidRDefault="001055B9" w:rsidP="004A15C9">
      <w:pPr>
        <w:numPr>
          <w:ilvl w:val="0"/>
          <w:numId w:val="10"/>
        </w:numPr>
        <w:spacing w:before="0" w:after="0" w:line="259" w:lineRule="auto"/>
        <w:rPr>
          <w:rFonts w:cs="Arial"/>
        </w:rPr>
      </w:pPr>
      <w:r w:rsidRPr="001055B9">
        <w:rPr>
          <w:rFonts w:cs="Arial"/>
        </w:rPr>
        <w:t>Dissemination of Medicines Optimisation and key prescribing information</w:t>
      </w:r>
    </w:p>
    <w:p w14:paraId="1FA42E67" w14:textId="77777777" w:rsidR="001055B9" w:rsidRDefault="001055B9" w:rsidP="001055B9">
      <w:pPr>
        <w:spacing w:before="0" w:after="0" w:line="259" w:lineRule="auto"/>
        <w:rPr>
          <w:rFonts w:cs="Arial"/>
          <w:b/>
        </w:rPr>
      </w:pPr>
    </w:p>
    <w:p w14:paraId="7894F237" w14:textId="77777777" w:rsidR="00B73870" w:rsidRPr="00DF672D" w:rsidRDefault="007519F9" w:rsidP="00644D19">
      <w:pPr>
        <w:pStyle w:val="Heading2"/>
        <w:jc w:val="left"/>
        <w:rPr>
          <w:color w:val="2F5496"/>
        </w:rPr>
      </w:pPr>
      <w:r w:rsidRPr="00DF672D">
        <w:rPr>
          <w:color w:val="2F5496"/>
        </w:rPr>
        <w:t xml:space="preserve"> </w:t>
      </w:r>
      <w:bookmarkStart w:id="18" w:name="_Toc39152525"/>
      <w:bookmarkStart w:id="19" w:name="_Toc46843648"/>
      <w:r w:rsidR="00B73870" w:rsidRPr="00DF672D">
        <w:rPr>
          <w:color w:val="2F5496"/>
        </w:rPr>
        <w:t>3.4</w:t>
      </w:r>
      <w:r w:rsidR="00B73870" w:rsidRPr="00DF672D">
        <w:rPr>
          <w:color w:val="2F5496"/>
        </w:rPr>
        <w:tab/>
        <w:t>Competencies</w:t>
      </w:r>
      <w:bookmarkEnd w:id="18"/>
      <w:bookmarkEnd w:id="19"/>
    </w:p>
    <w:p w14:paraId="051D2F28" w14:textId="77777777" w:rsidR="00B73870" w:rsidRDefault="00B73870" w:rsidP="00B73870">
      <w:pPr>
        <w:spacing w:before="0" w:after="0" w:line="259" w:lineRule="auto"/>
        <w:rPr>
          <w:rFonts w:cs="Arial"/>
        </w:rPr>
      </w:pPr>
      <w:r w:rsidRPr="00B73870">
        <w:rPr>
          <w:rFonts w:cs="Arial"/>
        </w:rPr>
        <w:t xml:space="preserve">The </w:t>
      </w:r>
      <w:hyperlink r:id="rId32" w:history="1">
        <w:r w:rsidRPr="00B73870">
          <w:rPr>
            <w:rStyle w:val="Hyperlink"/>
            <w:rFonts w:cs="Arial"/>
          </w:rPr>
          <w:t>Prescribing Competency Framework</w:t>
        </w:r>
      </w:hyperlink>
      <w:r w:rsidR="000351AC">
        <w:rPr>
          <w:rFonts w:cs="Arial"/>
          <w:vertAlign w:val="superscript"/>
        </w:rPr>
        <w:t>13</w:t>
      </w:r>
      <w:r w:rsidRPr="00B73870">
        <w:rPr>
          <w:rFonts w:cs="Arial"/>
        </w:rPr>
        <w:t xml:space="preserve"> for all prescribers published by the Royal Pharmaceutical Society (RPS) in collaboration with all prescribing professions in the UK sets out the competencies expected of all prescribers to support safe prescribing and effective use of medicines by patients. The framework was developed, as it is clear that a common set of competencies should underpin prescribing regardless of professional background.</w:t>
      </w:r>
    </w:p>
    <w:p w14:paraId="4BA6B8B8" w14:textId="77777777" w:rsidR="00B73870" w:rsidRPr="00B73870" w:rsidRDefault="00B73870" w:rsidP="00B73870">
      <w:pPr>
        <w:spacing w:before="0" w:after="0" w:line="259" w:lineRule="auto"/>
        <w:rPr>
          <w:rFonts w:cs="Arial"/>
        </w:rPr>
      </w:pPr>
    </w:p>
    <w:p w14:paraId="5609449B" w14:textId="77777777" w:rsidR="00B73870" w:rsidRPr="00B73870" w:rsidRDefault="00B73870" w:rsidP="00B73870">
      <w:pPr>
        <w:spacing w:before="0" w:after="0" w:line="259" w:lineRule="auto"/>
        <w:rPr>
          <w:rFonts w:cs="Arial"/>
          <w:b/>
        </w:rPr>
      </w:pPr>
      <w:r w:rsidRPr="00B73870">
        <w:rPr>
          <w:rFonts w:cs="Arial"/>
        </w:rPr>
        <w:t xml:space="preserve"> </w:t>
      </w:r>
      <w:r w:rsidRPr="00B73870">
        <w:rPr>
          <w:rFonts w:cs="Arial"/>
          <w:b/>
        </w:rPr>
        <w:t>Main changes to the framework</w:t>
      </w:r>
    </w:p>
    <w:p w14:paraId="3C99DF60" w14:textId="77777777" w:rsidR="00B73870" w:rsidRPr="00B73870" w:rsidRDefault="00B73870" w:rsidP="004A15C9">
      <w:pPr>
        <w:numPr>
          <w:ilvl w:val="0"/>
          <w:numId w:val="6"/>
        </w:numPr>
        <w:spacing w:before="0" w:after="0" w:line="259" w:lineRule="auto"/>
        <w:rPr>
          <w:rFonts w:cs="Arial"/>
        </w:rPr>
      </w:pPr>
      <w:r w:rsidRPr="00B73870">
        <w:rPr>
          <w:rFonts w:cs="Arial"/>
        </w:rPr>
        <w:t>The structure is more intuitive, with competencies 1-6 reflecting the consultation and competencies 7 – 10 focusing on the governance around the consultation.</w:t>
      </w:r>
    </w:p>
    <w:p w14:paraId="761B4362" w14:textId="77777777" w:rsidR="00B73870" w:rsidRPr="00D045E6" w:rsidRDefault="00B73870" w:rsidP="004A15C9">
      <w:pPr>
        <w:numPr>
          <w:ilvl w:val="0"/>
          <w:numId w:val="6"/>
        </w:numPr>
        <w:spacing w:before="0" w:after="0" w:line="259" w:lineRule="auto"/>
        <w:rPr>
          <w:rFonts w:cs="Arial"/>
        </w:rPr>
      </w:pPr>
      <w:r w:rsidRPr="00B73870">
        <w:rPr>
          <w:rFonts w:cs="Arial"/>
        </w:rPr>
        <w:t xml:space="preserve">New behavioural statements to explicitly reflect challenges in practice (e.g. recognising inappropriate polypharmacy, dose optimisation and de-prescribing) or changes to practice (e.g. </w:t>
      </w:r>
      <w:r w:rsidRPr="00D045E6">
        <w:rPr>
          <w:rFonts w:cs="Arial"/>
        </w:rPr>
        <w:t>challenges associated with remote prescribing)</w:t>
      </w:r>
    </w:p>
    <w:p w14:paraId="0EF4FAD2" w14:textId="77777777" w:rsidR="00B73870" w:rsidRPr="00B73870" w:rsidRDefault="00625AA8" w:rsidP="004A15C9">
      <w:pPr>
        <w:numPr>
          <w:ilvl w:val="0"/>
          <w:numId w:val="6"/>
        </w:numPr>
        <w:spacing w:before="0" w:after="0" w:line="259" w:lineRule="auto"/>
        <w:rPr>
          <w:rFonts w:cs="Arial"/>
        </w:rPr>
      </w:pPr>
      <w:r w:rsidRPr="00D045E6">
        <w:rPr>
          <w:rFonts w:cs="Arial"/>
        </w:rPr>
        <w:t>Improvements</w:t>
      </w:r>
      <w:r w:rsidR="00B73870" w:rsidRPr="00D045E6">
        <w:rPr>
          <w:rFonts w:cs="Arial"/>
        </w:rPr>
        <w:t xml:space="preserve"> of </w:t>
      </w:r>
      <w:r w:rsidRPr="00D045E6">
        <w:rPr>
          <w:rFonts w:cs="Arial"/>
        </w:rPr>
        <w:t>previous</w:t>
      </w:r>
      <w:r>
        <w:rPr>
          <w:rFonts w:cs="Arial"/>
        </w:rPr>
        <w:t xml:space="preserve"> </w:t>
      </w:r>
      <w:r w:rsidR="00B73870" w:rsidRPr="00B73870">
        <w:rPr>
          <w:rFonts w:cs="Arial"/>
        </w:rPr>
        <w:t>statements due to restructuring and new scrutiny including;</w:t>
      </w:r>
    </w:p>
    <w:p w14:paraId="6746F346" w14:textId="77777777" w:rsidR="00B73870" w:rsidRPr="00B73870" w:rsidRDefault="00B73870" w:rsidP="004A15C9">
      <w:pPr>
        <w:numPr>
          <w:ilvl w:val="1"/>
          <w:numId w:val="11"/>
        </w:numPr>
        <w:spacing w:before="0" w:after="0" w:line="259" w:lineRule="auto"/>
        <w:rPr>
          <w:rFonts w:cs="Arial"/>
        </w:rPr>
      </w:pPr>
      <w:r w:rsidRPr="00B73870">
        <w:rPr>
          <w:rFonts w:cs="Arial"/>
        </w:rPr>
        <w:t xml:space="preserve">Consolidation of behavioural statements </w:t>
      </w:r>
    </w:p>
    <w:p w14:paraId="27EFABFB" w14:textId="77777777" w:rsidR="00B73870" w:rsidRPr="00B73870" w:rsidRDefault="00B73870" w:rsidP="004A15C9">
      <w:pPr>
        <w:numPr>
          <w:ilvl w:val="1"/>
          <w:numId w:val="11"/>
        </w:numPr>
        <w:spacing w:before="0" w:after="0" w:line="259" w:lineRule="auto"/>
        <w:rPr>
          <w:rFonts w:cs="Arial"/>
        </w:rPr>
      </w:pPr>
      <w:r w:rsidRPr="00B73870">
        <w:rPr>
          <w:rFonts w:cs="Arial"/>
        </w:rPr>
        <w:t>Rewording for clarity</w:t>
      </w:r>
    </w:p>
    <w:p w14:paraId="30A59713" w14:textId="77777777" w:rsidR="00B73870" w:rsidRPr="00B73870" w:rsidRDefault="00B73870" w:rsidP="004A15C9">
      <w:pPr>
        <w:numPr>
          <w:ilvl w:val="1"/>
          <w:numId w:val="11"/>
        </w:numPr>
        <w:spacing w:before="0" w:after="0" w:line="259" w:lineRule="auto"/>
        <w:rPr>
          <w:rFonts w:cs="Arial"/>
        </w:rPr>
      </w:pPr>
      <w:r w:rsidRPr="00B73870">
        <w:rPr>
          <w:rFonts w:cs="Arial"/>
        </w:rPr>
        <w:t>Improvements to sentence structure of indicators</w:t>
      </w:r>
    </w:p>
    <w:p w14:paraId="5BA1740A" w14:textId="77777777" w:rsidR="00B73870" w:rsidRPr="00B73870" w:rsidRDefault="00B73870" w:rsidP="004A15C9">
      <w:pPr>
        <w:numPr>
          <w:ilvl w:val="1"/>
          <w:numId w:val="11"/>
        </w:numPr>
        <w:spacing w:before="0" w:after="0" w:line="259" w:lineRule="auto"/>
        <w:rPr>
          <w:rFonts w:cs="Arial"/>
        </w:rPr>
      </w:pPr>
      <w:r w:rsidRPr="00B73870">
        <w:rPr>
          <w:rFonts w:cs="Arial"/>
        </w:rPr>
        <w:t>Some deletions due to overlap and removal of general statements on professionalism</w:t>
      </w:r>
    </w:p>
    <w:p w14:paraId="5BED900D" w14:textId="77777777" w:rsidR="00B73870" w:rsidRPr="00B73870" w:rsidRDefault="00B73870" w:rsidP="004A15C9">
      <w:pPr>
        <w:numPr>
          <w:ilvl w:val="1"/>
          <w:numId w:val="11"/>
        </w:numPr>
        <w:spacing w:before="0" w:after="0" w:line="259" w:lineRule="auto"/>
        <w:rPr>
          <w:rFonts w:cs="Arial"/>
        </w:rPr>
      </w:pPr>
      <w:r w:rsidRPr="00B73870">
        <w:rPr>
          <w:rFonts w:cs="Arial"/>
        </w:rPr>
        <w:t>Explicit discussion about the application of professionalism (sits alongside the framework rather than within it)</w:t>
      </w:r>
    </w:p>
    <w:p w14:paraId="43BC3C8E" w14:textId="77777777" w:rsidR="007519F9" w:rsidRPr="00DF672D" w:rsidRDefault="007519F9" w:rsidP="00A55239">
      <w:pPr>
        <w:spacing w:before="0" w:after="0" w:line="259" w:lineRule="auto"/>
        <w:jc w:val="left"/>
        <w:rPr>
          <w:rFonts w:cs="Arial"/>
          <w:color w:val="2F5496"/>
        </w:rPr>
      </w:pPr>
    </w:p>
    <w:p w14:paraId="276BFAC4" w14:textId="77777777" w:rsidR="00A55239" w:rsidRPr="0070797B" w:rsidRDefault="00A55239" w:rsidP="00644D19">
      <w:pPr>
        <w:pStyle w:val="Heading2"/>
        <w:jc w:val="left"/>
        <w:rPr>
          <w:color w:val="2F5496"/>
        </w:rPr>
      </w:pPr>
      <w:bookmarkStart w:id="20" w:name="_Toc39152526"/>
      <w:bookmarkStart w:id="21" w:name="_Toc46843649"/>
      <w:r w:rsidRPr="0070797B">
        <w:rPr>
          <w:color w:val="2F5496"/>
        </w:rPr>
        <w:lastRenderedPageBreak/>
        <w:t>3.5. Designated Prescribing Practitioner (DPP)</w:t>
      </w:r>
      <w:bookmarkEnd w:id="20"/>
      <w:bookmarkEnd w:id="21"/>
    </w:p>
    <w:p w14:paraId="747FE93F" w14:textId="77777777" w:rsidR="00A55239" w:rsidRPr="00A55239" w:rsidRDefault="00A55239" w:rsidP="00021CBD">
      <w:pPr>
        <w:spacing w:before="0" w:after="0" w:line="259" w:lineRule="auto"/>
        <w:jc w:val="left"/>
        <w:rPr>
          <w:rFonts w:cs="Arial"/>
        </w:rPr>
      </w:pPr>
      <w:r w:rsidRPr="00A55239">
        <w:rPr>
          <w:rFonts w:cs="Arial"/>
        </w:rPr>
        <w:t xml:space="preserve">The term </w:t>
      </w:r>
      <w:hyperlink r:id="rId33" w:history="1">
        <w:r w:rsidRPr="00A55239">
          <w:rPr>
            <w:rStyle w:val="Hyperlink"/>
            <w:rFonts w:cs="Arial"/>
          </w:rPr>
          <w:t>Designated Prescribing Practitioner (DPP</w:t>
        </w:r>
        <w:r w:rsidR="00EB3666" w:rsidRPr="00A55239">
          <w:rPr>
            <w:rStyle w:val="Hyperlink"/>
            <w:rFonts w:cs="Arial"/>
          </w:rPr>
          <w:t xml:space="preserve">) </w:t>
        </w:r>
      </w:hyperlink>
      <w:r w:rsidR="00DF5983">
        <w:rPr>
          <w:rFonts w:cs="Arial"/>
          <w:vertAlign w:val="superscript"/>
        </w:rPr>
        <w:t>14</w:t>
      </w:r>
      <w:r w:rsidRPr="00A55239">
        <w:rPr>
          <w:rFonts w:cs="Arial"/>
        </w:rPr>
        <w:t xml:space="preserve"> describes the practitioner responsible for the non-medical prescribing trainee’s Period of Learning in Practice (PLP). It’s an umbrella term for a number of different profession-specific titles. The aim of the DPP is “To oversee, support and assess the competence of non-medical prescribing trainees, in collaboration with academic and workplace partners, during their Period of Learning in Practice”.</w:t>
      </w:r>
    </w:p>
    <w:p w14:paraId="6A2410FE" w14:textId="77777777" w:rsidR="00A55239" w:rsidRPr="00A55239" w:rsidRDefault="00A55239" w:rsidP="00A55239">
      <w:pPr>
        <w:spacing w:before="0" w:after="0" w:line="259" w:lineRule="auto"/>
        <w:jc w:val="left"/>
        <w:rPr>
          <w:rFonts w:cs="Arial"/>
        </w:rPr>
      </w:pPr>
    </w:p>
    <w:p w14:paraId="04ACCAE6" w14:textId="77777777" w:rsidR="00A55239" w:rsidRDefault="00A55239" w:rsidP="00A55239">
      <w:pPr>
        <w:spacing w:before="0" w:after="0" w:line="259" w:lineRule="auto"/>
        <w:rPr>
          <w:rFonts w:cs="Arial"/>
        </w:rPr>
      </w:pPr>
      <w:r w:rsidRPr="00A55239">
        <w:rPr>
          <w:rFonts w:cs="Arial"/>
          <w:b/>
        </w:rPr>
        <w:t>Allied Health Professionals:</w:t>
      </w:r>
      <w:r w:rsidRPr="00A55239">
        <w:rPr>
          <w:rFonts w:cs="Arial"/>
        </w:rPr>
        <w:t xml:space="preserve"> The Health and Care Professions Council (HCPC) use the term Practice Educator to describe DPP equivalent role. The Practice educator is the individual responsible for a trainee’s education during their </w:t>
      </w:r>
      <w:r w:rsidR="00CB66BD" w:rsidRPr="00A55239">
        <w:rPr>
          <w:rFonts w:cs="Arial"/>
        </w:rPr>
        <w:t>practice-based</w:t>
      </w:r>
      <w:r w:rsidRPr="00A55239">
        <w:rPr>
          <w:rFonts w:cs="Arial"/>
        </w:rPr>
        <w:t xml:space="preserve"> learning and who has received appropriate training for that role. For the purpose of non-medical prescribing training, the Practice Educator should be a registered prescriber who is able to demonstrate the competencies in the DPP framework.</w:t>
      </w:r>
    </w:p>
    <w:p w14:paraId="73F09F3C" w14:textId="77777777" w:rsidR="00812E91" w:rsidRPr="00A55239" w:rsidRDefault="00812E91" w:rsidP="00A55239">
      <w:pPr>
        <w:spacing w:before="0" w:after="0" w:line="259" w:lineRule="auto"/>
        <w:rPr>
          <w:rFonts w:cs="Arial"/>
        </w:rPr>
      </w:pPr>
    </w:p>
    <w:p w14:paraId="7119BE26" w14:textId="77777777" w:rsidR="00A55239" w:rsidRPr="00A55239" w:rsidRDefault="00A55239" w:rsidP="00A55239">
      <w:pPr>
        <w:spacing w:before="0" w:after="0" w:line="259" w:lineRule="auto"/>
        <w:rPr>
          <w:rFonts w:cs="Arial"/>
        </w:rPr>
      </w:pPr>
      <w:r w:rsidRPr="00A55239">
        <w:rPr>
          <w:rFonts w:cs="Arial"/>
          <w:b/>
        </w:rPr>
        <w:t xml:space="preserve">Nurses and Midwives: </w:t>
      </w:r>
      <w:r w:rsidRPr="00A55239">
        <w:rPr>
          <w:rFonts w:cs="Arial"/>
        </w:rPr>
        <w:t xml:space="preserve">The Nursing and Midwifery Council (NMC) standards describe two roles key to learning in practice; Practice Assessor and Practice Supervisor. In the context of non-medical prescribing training, the DPP competencies apply to any prescriber in the Practice Assessor role for a nurse or midwife trainee. All nurse or midwife non-medical prescribing trainees should, in the absence of exceptional circumstances, also have a named Practice Supervisor, who is a registered prescriber. </w:t>
      </w:r>
    </w:p>
    <w:p w14:paraId="03A0B3AA" w14:textId="77777777" w:rsidR="00812E91" w:rsidRDefault="00812E91" w:rsidP="00A55239">
      <w:pPr>
        <w:spacing w:before="0" w:after="0" w:line="259" w:lineRule="auto"/>
        <w:rPr>
          <w:rFonts w:cs="Arial"/>
          <w:b/>
        </w:rPr>
      </w:pPr>
    </w:p>
    <w:p w14:paraId="47193DF9" w14:textId="77777777" w:rsidR="00A55239" w:rsidRPr="00A55239" w:rsidRDefault="00A55239" w:rsidP="00A55239">
      <w:pPr>
        <w:spacing w:before="0" w:after="0" w:line="259" w:lineRule="auto"/>
        <w:rPr>
          <w:rFonts w:cs="Arial"/>
        </w:rPr>
      </w:pPr>
      <w:r w:rsidRPr="00A55239">
        <w:rPr>
          <w:rFonts w:cs="Arial"/>
          <w:b/>
        </w:rPr>
        <w:t xml:space="preserve">Pharmacists: </w:t>
      </w:r>
      <w:r w:rsidRPr="00A55239">
        <w:rPr>
          <w:rFonts w:cs="Arial"/>
        </w:rPr>
        <w:t>The General Pharmaceutical Council (</w:t>
      </w:r>
      <w:proofErr w:type="spellStart"/>
      <w:r w:rsidRPr="00A55239">
        <w:rPr>
          <w:rFonts w:cs="Arial"/>
        </w:rPr>
        <w:t>GPhC</w:t>
      </w:r>
      <w:proofErr w:type="spellEnd"/>
      <w:r w:rsidRPr="00A55239">
        <w:rPr>
          <w:rFonts w:cs="Arial"/>
        </w:rPr>
        <w:t xml:space="preserve">) uses the term Designated Prescribing Practitioner (DPP). For Pharmacist Non-Medical Prescribing trainees, this role should be carried out by a registered Independent Pharmacist Prescriber or Medical Practitioner who is able to demonstrate the competencies in the framework. </w:t>
      </w:r>
    </w:p>
    <w:p w14:paraId="2E6B62A8" w14:textId="77777777" w:rsidR="00A55239" w:rsidRPr="00A55239" w:rsidRDefault="00A55239" w:rsidP="00A55239">
      <w:pPr>
        <w:spacing w:before="0" w:after="0" w:line="259" w:lineRule="auto"/>
        <w:rPr>
          <w:rFonts w:cs="Arial"/>
        </w:rPr>
      </w:pPr>
    </w:p>
    <w:p w14:paraId="68B4A1C4" w14:textId="77777777" w:rsidR="00A55239" w:rsidRPr="00A55239" w:rsidRDefault="00A55239" w:rsidP="00A55239">
      <w:pPr>
        <w:spacing w:before="0" w:after="0" w:line="259" w:lineRule="auto"/>
        <w:rPr>
          <w:rFonts w:cs="Arial"/>
          <w:b/>
        </w:rPr>
      </w:pPr>
      <w:r w:rsidRPr="00A55239">
        <w:rPr>
          <w:rFonts w:cs="Arial"/>
          <w:b/>
        </w:rPr>
        <w:t xml:space="preserve">Eligibility for the DPP role </w:t>
      </w:r>
    </w:p>
    <w:p w14:paraId="74AEDB21" w14:textId="77777777" w:rsidR="00A55239" w:rsidRDefault="00A55239" w:rsidP="00A55239">
      <w:pPr>
        <w:spacing w:before="0" w:after="0" w:line="259" w:lineRule="auto"/>
        <w:rPr>
          <w:rFonts w:cs="Arial"/>
        </w:rPr>
      </w:pPr>
      <w:r w:rsidRPr="00A55239">
        <w:rPr>
          <w:rFonts w:cs="Arial"/>
        </w:rPr>
        <w:t>The regulatory requirements that underpin the competencies within the framework should be met by all DPPs:</w:t>
      </w:r>
    </w:p>
    <w:p w14:paraId="731975A6" w14:textId="77777777" w:rsidR="00812E91" w:rsidRPr="00A55239" w:rsidRDefault="00812E91" w:rsidP="00A55239">
      <w:pPr>
        <w:spacing w:before="0" w:after="0" w:line="259" w:lineRule="auto"/>
        <w:rPr>
          <w:rFonts w:cs="Arial"/>
        </w:rPr>
      </w:pPr>
    </w:p>
    <w:p w14:paraId="32C35A77" w14:textId="77777777" w:rsidR="00A55239" w:rsidRPr="00A55239" w:rsidRDefault="00A55239" w:rsidP="004A15C9">
      <w:pPr>
        <w:numPr>
          <w:ilvl w:val="0"/>
          <w:numId w:val="12"/>
        </w:numPr>
        <w:spacing w:before="0" w:after="0" w:line="259" w:lineRule="auto"/>
        <w:rPr>
          <w:rFonts w:cs="Arial"/>
        </w:rPr>
      </w:pPr>
      <w:r w:rsidRPr="00A55239">
        <w:rPr>
          <w:rFonts w:cs="Arial"/>
        </w:rPr>
        <w:t xml:space="preserve">Any prescriber taking on the DPP role must be registered with their professional regulator. All NMPs undertaking the DPP role should have the necessary annotation for a prescriber as required by their regulator. </w:t>
      </w:r>
    </w:p>
    <w:p w14:paraId="0B725622" w14:textId="77777777" w:rsidR="00A55239" w:rsidRDefault="00A55239" w:rsidP="004A15C9">
      <w:pPr>
        <w:numPr>
          <w:ilvl w:val="0"/>
          <w:numId w:val="12"/>
        </w:numPr>
        <w:spacing w:before="0" w:after="0" w:line="259" w:lineRule="auto"/>
        <w:rPr>
          <w:rFonts w:cs="Arial"/>
        </w:rPr>
      </w:pPr>
      <w:r w:rsidRPr="00A55239">
        <w:rPr>
          <w:rFonts w:cs="Arial"/>
        </w:rPr>
        <w:t xml:space="preserve">The registered health professional practitioner acting in the DPP role should demonstrate that they meet all the competencies within the </w:t>
      </w:r>
      <w:hyperlink r:id="rId34" w:history="1">
        <w:r w:rsidRPr="00A55239">
          <w:rPr>
            <w:rStyle w:val="Hyperlink"/>
            <w:rFonts w:cs="Arial"/>
          </w:rPr>
          <w:t>Prescribing Competency Framework</w:t>
        </w:r>
      </w:hyperlink>
      <w:r w:rsidR="00EB3666">
        <w:rPr>
          <w:rFonts w:cs="Arial"/>
          <w:vertAlign w:val="superscript"/>
        </w:rPr>
        <w:t>14</w:t>
      </w:r>
    </w:p>
    <w:p w14:paraId="3C5F1418" w14:textId="77777777" w:rsidR="00812E91" w:rsidRDefault="00812E91" w:rsidP="00812E91">
      <w:pPr>
        <w:spacing w:before="0" w:after="0" w:line="259" w:lineRule="auto"/>
        <w:rPr>
          <w:rFonts w:cs="Arial"/>
        </w:rPr>
      </w:pPr>
    </w:p>
    <w:p w14:paraId="2692A9F9" w14:textId="77777777" w:rsidR="00812E91" w:rsidRDefault="00812E91" w:rsidP="00812E91">
      <w:pPr>
        <w:spacing w:before="0" w:after="0" w:line="259" w:lineRule="auto"/>
        <w:rPr>
          <w:rFonts w:cs="Arial"/>
        </w:rPr>
      </w:pPr>
    </w:p>
    <w:p w14:paraId="638F7359" w14:textId="77777777" w:rsidR="00812E91" w:rsidRPr="00DF672D" w:rsidRDefault="00812E91" w:rsidP="00812E91">
      <w:pPr>
        <w:pStyle w:val="Heading1"/>
        <w:jc w:val="left"/>
        <w:rPr>
          <w:color w:val="2F5496"/>
        </w:rPr>
      </w:pPr>
      <w:bookmarkStart w:id="22" w:name="_Toc39152527"/>
      <w:bookmarkStart w:id="23" w:name="_Toc46843650"/>
      <w:r w:rsidRPr="00DF672D">
        <w:rPr>
          <w:color w:val="2F5496"/>
        </w:rPr>
        <w:t>4.0 Professional Accountability</w:t>
      </w:r>
      <w:bookmarkEnd w:id="22"/>
      <w:bookmarkEnd w:id="23"/>
    </w:p>
    <w:p w14:paraId="1148F886" w14:textId="77777777" w:rsidR="00812E91" w:rsidRDefault="00812E91" w:rsidP="00812E91">
      <w:pPr>
        <w:spacing w:before="0" w:after="0" w:line="259" w:lineRule="auto"/>
        <w:rPr>
          <w:rFonts w:cs="Arial"/>
        </w:rPr>
      </w:pPr>
      <w:r w:rsidRPr="00812E91">
        <w:rPr>
          <w:rFonts w:cs="Arial"/>
        </w:rPr>
        <w:t>The qualified Non-Medical Prescriber is accountable both individually and professionally for all aspects of their prescribing decisions, including actions and omissions, and should not under any circumstance delegate this accountability to any other individual. They should prescribe within the locally agreed formulary, guidance and policies.</w:t>
      </w:r>
    </w:p>
    <w:p w14:paraId="3772E254" w14:textId="77777777" w:rsidR="00812E91" w:rsidRPr="00812E91" w:rsidRDefault="00812E91" w:rsidP="00812E91">
      <w:pPr>
        <w:spacing w:before="0" w:after="0" w:line="259" w:lineRule="auto"/>
        <w:rPr>
          <w:rFonts w:cs="Arial"/>
        </w:rPr>
      </w:pPr>
    </w:p>
    <w:p w14:paraId="4D618C74" w14:textId="77777777" w:rsidR="00812E91" w:rsidRPr="00812E91" w:rsidRDefault="00812E91" w:rsidP="00812E91">
      <w:pPr>
        <w:spacing w:before="0" w:after="0" w:line="259" w:lineRule="auto"/>
        <w:rPr>
          <w:rFonts w:cs="Arial"/>
        </w:rPr>
      </w:pPr>
      <w:r w:rsidRPr="00812E91">
        <w:rPr>
          <w:rFonts w:cs="Arial"/>
        </w:rPr>
        <w:t>The employer is held vicariously liable for actions of the qualified Non-Medical Prescriber when the appropriately trained Non-Medical Prescriber is prescribing as part of their professional duties and scope of practice, with the consent of their employer.</w:t>
      </w:r>
    </w:p>
    <w:p w14:paraId="3256131C" w14:textId="77777777" w:rsidR="00812E91" w:rsidRDefault="00812E91" w:rsidP="00812E91">
      <w:pPr>
        <w:spacing w:before="0" w:after="0" w:line="259" w:lineRule="auto"/>
        <w:rPr>
          <w:rFonts w:cs="Arial"/>
        </w:rPr>
      </w:pPr>
    </w:p>
    <w:p w14:paraId="2B27F243" w14:textId="77777777" w:rsidR="00812E91" w:rsidRPr="00812E91" w:rsidRDefault="00812E91" w:rsidP="00812E91">
      <w:pPr>
        <w:spacing w:before="0" w:after="0" w:line="259" w:lineRule="auto"/>
        <w:rPr>
          <w:rFonts w:cs="Arial"/>
        </w:rPr>
      </w:pPr>
      <w:r w:rsidRPr="00812E91">
        <w:rPr>
          <w:rFonts w:cs="Arial"/>
        </w:rPr>
        <w:t xml:space="preserve">The job description, person specifications, service level agreement should include a clear statement that prescribing is required as part of the duties of the role or service.  All NMPs should ensure that their current job description, person specification and service level agreements adequately </w:t>
      </w:r>
      <w:proofErr w:type="gramStart"/>
      <w:r w:rsidRPr="00812E91">
        <w:rPr>
          <w:rFonts w:cs="Arial"/>
        </w:rPr>
        <w:t>covers</w:t>
      </w:r>
      <w:proofErr w:type="gramEnd"/>
      <w:r w:rsidRPr="00812E91">
        <w:rPr>
          <w:rFonts w:cs="Arial"/>
        </w:rPr>
        <w:t xml:space="preserve"> their prescribing role.</w:t>
      </w:r>
    </w:p>
    <w:p w14:paraId="3685CD0E" w14:textId="77777777" w:rsidR="00812E91" w:rsidRDefault="00812E91" w:rsidP="00812E91">
      <w:pPr>
        <w:spacing w:before="0" w:after="0" w:line="259" w:lineRule="auto"/>
        <w:rPr>
          <w:rFonts w:cs="Arial"/>
        </w:rPr>
      </w:pPr>
      <w:r w:rsidRPr="00812E91">
        <w:rPr>
          <w:rFonts w:cs="Arial"/>
        </w:rPr>
        <w:lastRenderedPageBreak/>
        <w:t>All Non-Medical Prescribers are expected at all times to work within the standards and codes of professional conduct as set out by their own regulatory bodies as well as the policies and guidelines ratified by their employer and the CCG in which their employer is located</w:t>
      </w:r>
    </w:p>
    <w:p w14:paraId="46186E53" w14:textId="77777777" w:rsidR="00812E91" w:rsidRDefault="00812E91" w:rsidP="00812E91">
      <w:pPr>
        <w:spacing w:before="0" w:after="0" w:line="259" w:lineRule="auto"/>
        <w:rPr>
          <w:rFonts w:cs="Arial"/>
        </w:rPr>
      </w:pPr>
    </w:p>
    <w:p w14:paraId="324D30A2" w14:textId="77777777" w:rsidR="00812E91" w:rsidRDefault="00812E91" w:rsidP="00812E91">
      <w:pPr>
        <w:spacing w:before="0" w:after="0" w:line="259" w:lineRule="auto"/>
        <w:rPr>
          <w:rFonts w:cs="Arial"/>
        </w:rPr>
      </w:pPr>
    </w:p>
    <w:p w14:paraId="564F7F75" w14:textId="77777777" w:rsidR="00812E91" w:rsidRPr="004A15C9" w:rsidRDefault="00812E91" w:rsidP="005D07F7">
      <w:pPr>
        <w:pStyle w:val="Heading1"/>
        <w:jc w:val="left"/>
        <w:rPr>
          <w:color w:val="2F5496"/>
        </w:rPr>
      </w:pPr>
      <w:bookmarkStart w:id="24" w:name="_Toc39152528"/>
      <w:bookmarkStart w:id="25" w:name="_Toc46843651"/>
      <w:r w:rsidRPr="004A15C9">
        <w:rPr>
          <w:color w:val="2F5496"/>
        </w:rPr>
        <w:t>5.0 Clinical Governance in Prescribing</w:t>
      </w:r>
      <w:bookmarkEnd w:id="24"/>
      <w:bookmarkEnd w:id="25"/>
    </w:p>
    <w:p w14:paraId="42D985B8" w14:textId="77777777" w:rsidR="00812E91" w:rsidRDefault="00812E91" w:rsidP="00812E91">
      <w:pPr>
        <w:spacing w:before="0" w:after="0" w:line="259" w:lineRule="auto"/>
        <w:rPr>
          <w:rFonts w:cs="Arial"/>
        </w:rPr>
      </w:pPr>
      <w:r w:rsidRPr="00812E91">
        <w:rPr>
          <w:rFonts w:cs="Arial"/>
        </w:rPr>
        <w:t xml:space="preserve">Clinical governance is the system through which NHS organisations are accountable for continuously improving the quality of their services and safeguarding high standards of care, by creating an environment in which clinical excellence will flourish. </w:t>
      </w:r>
    </w:p>
    <w:p w14:paraId="2DEBB1FF" w14:textId="77777777" w:rsidR="00812E91" w:rsidRPr="00812E91" w:rsidRDefault="00812E91" w:rsidP="00812E91">
      <w:pPr>
        <w:spacing w:before="0" w:after="0" w:line="259" w:lineRule="auto"/>
        <w:rPr>
          <w:rFonts w:cs="Arial"/>
        </w:rPr>
      </w:pPr>
    </w:p>
    <w:p w14:paraId="4618486C" w14:textId="77777777" w:rsidR="00812E91" w:rsidRPr="00812E91" w:rsidRDefault="00812E91" w:rsidP="00812E91">
      <w:pPr>
        <w:spacing w:before="0" w:after="0" w:line="259" w:lineRule="auto"/>
        <w:rPr>
          <w:rFonts w:cs="Arial"/>
        </w:rPr>
      </w:pPr>
      <w:r w:rsidRPr="00812E91">
        <w:rPr>
          <w:rFonts w:cs="Arial"/>
        </w:rPr>
        <w:t xml:space="preserve">All qualified Non-Medical Prescribers need to complete a scope of practice form which will identify the areas of their practice and provide assurance that they have the relevant knowledge, competence, skills and experience to manage the health conditions and prescribe. </w:t>
      </w:r>
    </w:p>
    <w:p w14:paraId="2C9F2756" w14:textId="77777777" w:rsidR="00812E91" w:rsidRDefault="00812E91" w:rsidP="00812E91">
      <w:pPr>
        <w:spacing w:before="0" w:after="0" w:line="259" w:lineRule="auto"/>
        <w:rPr>
          <w:rFonts w:cs="Arial"/>
        </w:rPr>
      </w:pPr>
    </w:p>
    <w:p w14:paraId="70B4C862" w14:textId="77777777" w:rsidR="00812E91" w:rsidRPr="00812E91" w:rsidRDefault="00812E91" w:rsidP="00812E91">
      <w:pPr>
        <w:spacing w:before="0" w:after="0" w:line="259" w:lineRule="auto"/>
        <w:rPr>
          <w:rFonts w:cs="Arial"/>
        </w:rPr>
      </w:pPr>
      <w:r w:rsidRPr="00812E91">
        <w:rPr>
          <w:rFonts w:cs="Arial"/>
        </w:rPr>
        <w:t>All Non-Medical Prescribers, prescribing against the Clinical Commissioning Group prescribing budget must be listed on the Clinical Commissioning Group non-medical prescribing register and registered to the appropriate cost code with the Prescription Services at the NHS Business Services Authority. Locum Non-Medical Prescribers working on an ad hoc basis are not able to register with the NHSBSA and therefore will not be able to prescribe when working as a locum. If there is any doubt contact the Medicines Optimisation Team for advice.</w:t>
      </w:r>
    </w:p>
    <w:p w14:paraId="62785601" w14:textId="77777777" w:rsidR="00812E91" w:rsidRDefault="00812E91" w:rsidP="00812E91">
      <w:pPr>
        <w:spacing w:before="0" w:after="0" w:line="259" w:lineRule="auto"/>
        <w:rPr>
          <w:rFonts w:cs="Arial"/>
        </w:rPr>
      </w:pPr>
    </w:p>
    <w:p w14:paraId="3D884EB0" w14:textId="77777777" w:rsidR="00812E91" w:rsidRPr="00625AA8" w:rsidRDefault="00812E91" w:rsidP="00812E91">
      <w:pPr>
        <w:spacing w:before="0" w:after="0" w:line="259" w:lineRule="auto"/>
        <w:rPr>
          <w:rFonts w:cs="Arial"/>
        </w:rPr>
      </w:pPr>
      <w:r w:rsidRPr="00812E91">
        <w:rPr>
          <w:rFonts w:cs="Arial"/>
        </w:rPr>
        <w:t>Patient safety concerns or incidents should be reported to the practice prescribing lead or Line Manager in the first instance and refer to the practice and Incident reporting policy and guidelines</w:t>
      </w:r>
      <w:r w:rsidR="00625AA8">
        <w:rPr>
          <w:rFonts w:cs="Arial"/>
        </w:rPr>
        <w:t xml:space="preserve"> as </w:t>
      </w:r>
      <w:r w:rsidR="00625AA8" w:rsidRPr="00D045E6">
        <w:rPr>
          <w:rFonts w:cs="Arial"/>
        </w:rPr>
        <w:t>required by the</w:t>
      </w:r>
      <w:r w:rsidR="00625AA8" w:rsidRPr="00D045E6">
        <w:t xml:space="preserve"> </w:t>
      </w:r>
      <w:r w:rsidR="00625AA8" w:rsidRPr="00D045E6">
        <w:rPr>
          <w:rFonts w:cs="Arial"/>
        </w:rPr>
        <w:t>‘Duty of Candour’</w:t>
      </w:r>
      <w:r w:rsidRPr="00D045E6">
        <w:rPr>
          <w:rFonts w:cs="Arial"/>
        </w:rPr>
        <w:t>.</w:t>
      </w:r>
    </w:p>
    <w:p w14:paraId="313F861D" w14:textId="77777777" w:rsidR="00812E91" w:rsidRDefault="00812E91" w:rsidP="00812E91">
      <w:pPr>
        <w:spacing w:before="0" w:after="0" w:line="259" w:lineRule="auto"/>
        <w:rPr>
          <w:rFonts w:cs="Arial"/>
        </w:rPr>
      </w:pPr>
    </w:p>
    <w:p w14:paraId="6D08C7A5" w14:textId="77777777" w:rsidR="00812E91" w:rsidRPr="00812E91" w:rsidRDefault="00812E91" w:rsidP="00812E91">
      <w:pPr>
        <w:spacing w:before="0" w:after="0" w:line="259" w:lineRule="auto"/>
        <w:rPr>
          <w:rFonts w:cs="Arial"/>
        </w:rPr>
      </w:pPr>
      <w:r w:rsidRPr="00812E91">
        <w:rPr>
          <w:rFonts w:cs="Arial"/>
        </w:rPr>
        <w:t>For any safeguarding or child protection concerns, please refer to Child Protection Guidelines and Safeguarding Children/Adult Policies</w:t>
      </w:r>
      <w:r w:rsidR="00EB3666">
        <w:rPr>
          <w:rFonts w:cs="Arial"/>
        </w:rPr>
        <w:t xml:space="preserve"> (see links below)</w:t>
      </w:r>
      <w:r w:rsidRPr="00812E91">
        <w:rPr>
          <w:rFonts w:cs="Arial"/>
        </w:rPr>
        <w:t>, this will include issues identified around obtaining consent and the Mental Capacity Act.</w:t>
      </w:r>
    </w:p>
    <w:p w14:paraId="04DFFF3A" w14:textId="77777777" w:rsidR="00812E91" w:rsidRDefault="00812E91" w:rsidP="00812E91">
      <w:pPr>
        <w:spacing w:before="0" w:after="0" w:line="259" w:lineRule="auto"/>
        <w:rPr>
          <w:rFonts w:cs="Arial"/>
          <w:u w:val="single"/>
        </w:rPr>
      </w:pPr>
    </w:p>
    <w:p w14:paraId="204F1855" w14:textId="77777777" w:rsidR="00812E91" w:rsidRPr="00812E91" w:rsidRDefault="00CF2869" w:rsidP="004A15C9">
      <w:pPr>
        <w:numPr>
          <w:ilvl w:val="0"/>
          <w:numId w:val="13"/>
        </w:numPr>
        <w:spacing w:before="0" w:after="0" w:line="259" w:lineRule="auto"/>
        <w:rPr>
          <w:rFonts w:cs="Arial"/>
        </w:rPr>
      </w:pPr>
      <w:hyperlink r:id="rId35" w:history="1">
        <w:r w:rsidR="00812E91" w:rsidRPr="00812E91">
          <w:rPr>
            <w:rStyle w:val="Hyperlink"/>
            <w:rFonts w:cs="Arial"/>
          </w:rPr>
          <w:t>http://www.walthamforestccg.nhs.uk/about/publications.htm</w:t>
        </w:r>
      </w:hyperlink>
      <w:r w:rsidR="00812E91" w:rsidRPr="00812E91">
        <w:rPr>
          <w:rFonts w:cs="Arial"/>
        </w:rPr>
        <w:t xml:space="preserve"> </w:t>
      </w:r>
    </w:p>
    <w:p w14:paraId="15653A91" w14:textId="77777777" w:rsidR="00812E91" w:rsidRPr="00812E91" w:rsidRDefault="00CF2869" w:rsidP="004A15C9">
      <w:pPr>
        <w:numPr>
          <w:ilvl w:val="0"/>
          <w:numId w:val="13"/>
        </w:numPr>
        <w:spacing w:before="0" w:after="0" w:line="259" w:lineRule="auto"/>
        <w:rPr>
          <w:rFonts w:cs="Arial"/>
        </w:rPr>
      </w:pPr>
      <w:hyperlink r:id="rId36" w:history="1">
        <w:r w:rsidR="00812E91" w:rsidRPr="00812E91">
          <w:rPr>
            <w:rStyle w:val="Hyperlink"/>
            <w:rFonts w:cs="Arial"/>
          </w:rPr>
          <w:t>http://nww.newhamccg.nhs.uk/clinical/Safeguarding/Pages/default.aspx</w:t>
        </w:r>
      </w:hyperlink>
    </w:p>
    <w:p w14:paraId="67847D4D" w14:textId="77777777" w:rsidR="00812E91" w:rsidRDefault="00CF2869" w:rsidP="004A15C9">
      <w:pPr>
        <w:numPr>
          <w:ilvl w:val="0"/>
          <w:numId w:val="13"/>
        </w:numPr>
        <w:spacing w:before="0" w:after="0" w:line="259" w:lineRule="auto"/>
        <w:rPr>
          <w:rFonts w:cs="Arial"/>
        </w:rPr>
      </w:pPr>
      <w:hyperlink r:id="rId37" w:history="1">
        <w:r w:rsidR="00812E91" w:rsidRPr="00812E91">
          <w:rPr>
            <w:rStyle w:val="Hyperlink"/>
            <w:rFonts w:cs="Arial"/>
          </w:rPr>
          <w:t>http://nww.towerhamletsccg.nhs.uk/organisation/performance/Pages/Safeguarding.aspx</w:t>
        </w:r>
      </w:hyperlink>
    </w:p>
    <w:p w14:paraId="60C7EEC1" w14:textId="77777777" w:rsidR="00AC7BB7" w:rsidRDefault="00AC7BB7" w:rsidP="00AC7BB7">
      <w:pPr>
        <w:spacing w:before="0" w:after="0" w:line="259" w:lineRule="auto"/>
        <w:rPr>
          <w:rFonts w:cs="Arial"/>
        </w:rPr>
      </w:pPr>
    </w:p>
    <w:p w14:paraId="711F3EA6" w14:textId="77777777" w:rsidR="00AC7BB7" w:rsidRDefault="00AC7BB7" w:rsidP="00AC7BB7">
      <w:pPr>
        <w:spacing w:before="0" w:after="0" w:line="259" w:lineRule="auto"/>
        <w:rPr>
          <w:rFonts w:cs="Arial"/>
        </w:rPr>
      </w:pPr>
    </w:p>
    <w:p w14:paraId="56B34CA8" w14:textId="77777777" w:rsidR="00AC7BB7" w:rsidRPr="00DF672D" w:rsidRDefault="00AC7BB7" w:rsidP="00AC7BB7">
      <w:pPr>
        <w:pStyle w:val="Heading1"/>
        <w:jc w:val="left"/>
        <w:rPr>
          <w:color w:val="2F5496"/>
        </w:rPr>
      </w:pPr>
      <w:bookmarkStart w:id="26" w:name="_Toc39152529"/>
      <w:bookmarkStart w:id="27" w:name="_Toc46843652"/>
      <w:r w:rsidRPr="00DF672D">
        <w:rPr>
          <w:color w:val="2F5496"/>
        </w:rPr>
        <w:t>6.0 Training</w:t>
      </w:r>
      <w:bookmarkEnd w:id="26"/>
      <w:bookmarkEnd w:id="27"/>
    </w:p>
    <w:p w14:paraId="3790A7AB" w14:textId="77777777" w:rsidR="00AC7BB7" w:rsidRDefault="00AC7BB7" w:rsidP="00AC7BB7">
      <w:pPr>
        <w:spacing w:before="0" w:after="0" w:line="259" w:lineRule="auto"/>
        <w:rPr>
          <w:rFonts w:cs="Arial"/>
        </w:rPr>
      </w:pPr>
      <w:r w:rsidRPr="00AC7BB7">
        <w:rPr>
          <w:rFonts w:cs="Arial"/>
        </w:rPr>
        <w:t>Health Education England, North Central and East London</w:t>
      </w:r>
      <w:r>
        <w:rPr>
          <w:rFonts w:cs="Arial"/>
        </w:rPr>
        <w:t xml:space="preserve"> (HE NCEL)</w:t>
      </w:r>
      <w:r w:rsidRPr="00AC7BB7">
        <w:rPr>
          <w:rFonts w:cs="Arial"/>
        </w:rPr>
        <w:t xml:space="preserve"> has the responsibility for ensuring high quality education and training is provided to all health professionals and can support in the training of a non-medical prescriber.</w:t>
      </w:r>
      <w:r>
        <w:rPr>
          <w:rFonts w:cs="Arial"/>
        </w:rPr>
        <w:t xml:space="preserve"> Further information is available online (</w:t>
      </w:r>
      <w:hyperlink r:id="rId38" w:history="1">
        <w:r w:rsidRPr="00AC7BB7">
          <w:rPr>
            <w:rStyle w:val="Hyperlink"/>
            <w:rFonts w:cs="Arial"/>
          </w:rPr>
          <w:t>click here</w:t>
        </w:r>
      </w:hyperlink>
      <w:r w:rsidR="00EB3666">
        <w:rPr>
          <w:rFonts w:cs="Arial"/>
        </w:rPr>
        <w:t>)</w:t>
      </w:r>
      <w:r w:rsidR="00EB3666">
        <w:rPr>
          <w:rFonts w:cs="Arial"/>
          <w:vertAlign w:val="superscript"/>
        </w:rPr>
        <w:t xml:space="preserve"> 15</w:t>
      </w:r>
      <w:r>
        <w:rPr>
          <w:rFonts w:cs="Arial"/>
        </w:rPr>
        <w:t>.</w:t>
      </w:r>
      <w:r w:rsidRPr="00AC7BB7">
        <w:rPr>
          <w:rFonts w:cs="Arial"/>
        </w:rPr>
        <w:t xml:space="preserve"> </w:t>
      </w:r>
    </w:p>
    <w:p w14:paraId="437D0E68" w14:textId="77777777" w:rsidR="00AC7BB7" w:rsidRPr="00AC7BB7" w:rsidRDefault="00AC7BB7" w:rsidP="00AC7BB7">
      <w:pPr>
        <w:spacing w:before="0" w:after="0" w:line="259" w:lineRule="auto"/>
        <w:rPr>
          <w:rFonts w:cs="Arial"/>
        </w:rPr>
      </w:pPr>
    </w:p>
    <w:p w14:paraId="2F9E89F8" w14:textId="77777777" w:rsidR="00AC7BB7" w:rsidRPr="00AC7BB7" w:rsidRDefault="00AC7BB7" w:rsidP="00AC7BB7">
      <w:pPr>
        <w:spacing w:before="0" w:after="0" w:line="259" w:lineRule="auto"/>
        <w:rPr>
          <w:rFonts w:cs="Arial"/>
        </w:rPr>
      </w:pPr>
      <w:r w:rsidRPr="00AC7BB7">
        <w:rPr>
          <w:rFonts w:cs="Arial"/>
        </w:rPr>
        <w:t>Funding may also be available via individual Community Education Provider Networks (CEPNs)</w:t>
      </w:r>
    </w:p>
    <w:p w14:paraId="701FAEEE" w14:textId="77777777" w:rsidR="00AC7BB7" w:rsidRDefault="00AC7BB7" w:rsidP="00AC7BB7">
      <w:pPr>
        <w:spacing w:before="0" w:after="0" w:line="259" w:lineRule="auto"/>
        <w:rPr>
          <w:rFonts w:cs="Arial"/>
        </w:rPr>
      </w:pPr>
      <w:r w:rsidRPr="00AC7BB7">
        <w:rPr>
          <w:rFonts w:cs="Arial"/>
        </w:rPr>
        <w:t>Details of HE NCEL are:</w:t>
      </w:r>
    </w:p>
    <w:p w14:paraId="0A86D760" w14:textId="77777777" w:rsidR="00AC7BB7" w:rsidRPr="00AC7BB7" w:rsidRDefault="00AC7BB7" w:rsidP="00AC7BB7">
      <w:pPr>
        <w:spacing w:before="0" w:after="0" w:line="259" w:lineRule="auto"/>
        <w:rPr>
          <w:rFonts w:cs="Arial"/>
        </w:rPr>
      </w:pPr>
      <w:r w:rsidRPr="00AC7BB7">
        <w:rPr>
          <w:rFonts w:cs="Arial"/>
        </w:rPr>
        <w:t>Health Education North Central and East London</w:t>
      </w:r>
    </w:p>
    <w:p w14:paraId="72013B8A" w14:textId="77777777" w:rsidR="00AC7BB7" w:rsidRPr="00AC7BB7" w:rsidRDefault="00AC7BB7" w:rsidP="00AC7BB7">
      <w:pPr>
        <w:spacing w:before="0" w:after="0" w:line="259" w:lineRule="auto"/>
        <w:rPr>
          <w:rFonts w:cs="Arial"/>
        </w:rPr>
      </w:pPr>
      <w:r w:rsidRPr="00AC7BB7">
        <w:rPr>
          <w:rFonts w:cs="Arial"/>
        </w:rPr>
        <w:t>4th Floor, Stewart House, 32 Russell Square, London, WC1B 5DN</w:t>
      </w:r>
    </w:p>
    <w:p w14:paraId="345609C8" w14:textId="77777777" w:rsidR="00AC7BB7" w:rsidRPr="00AC7BB7" w:rsidRDefault="00AC7BB7" w:rsidP="00AC7BB7">
      <w:pPr>
        <w:spacing w:before="0" w:after="0" w:line="259" w:lineRule="auto"/>
        <w:rPr>
          <w:rFonts w:cs="Arial"/>
        </w:rPr>
      </w:pPr>
      <w:r w:rsidRPr="00AC7BB7">
        <w:rPr>
          <w:rFonts w:cs="Arial"/>
        </w:rPr>
        <w:t xml:space="preserve">Tel: 0207 866 3100 </w:t>
      </w:r>
      <w:r>
        <w:rPr>
          <w:rFonts w:cs="Arial"/>
        </w:rPr>
        <w:t xml:space="preserve">- </w:t>
      </w:r>
      <w:r w:rsidRPr="00AC7BB7">
        <w:rPr>
          <w:rFonts w:cs="Arial"/>
        </w:rPr>
        <w:t>general enquiries</w:t>
      </w:r>
    </w:p>
    <w:p w14:paraId="63C1FFD1" w14:textId="77777777" w:rsidR="00AC7BB7" w:rsidRDefault="00AC7BB7" w:rsidP="00AC7BB7">
      <w:pPr>
        <w:spacing w:before="0" w:after="0" w:line="259" w:lineRule="auto"/>
        <w:rPr>
          <w:rFonts w:cs="Arial"/>
        </w:rPr>
      </w:pPr>
      <w:r>
        <w:rPr>
          <w:rFonts w:cs="Arial"/>
        </w:rPr>
        <w:t>Tel:</w:t>
      </w:r>
      <w:r w:rsidRPr="00AC7BB7">
        <w:rPr>
          <w:rFonts w:cs="Arial"/>
        </w:rPr>
        <w:t xml:space="preserve"> 0207 862 8601 </w:t>
      </w:r>
      <w:r>
        <w:rPr>
          <w:rFonts w:cs="Arial"/>
        </w:rPr>
        <w:t xml:space="preserve">- </w:t>
      </w:r>
      <w:r w:rsidRPr="00AC7BB7">
        <w:rPr>
          <w:rFonts w:cs="Arial"/>
        </w:rPr>
        <w:t>for nurse prescriber training queries (between 2 and 5 pm)</w:t>
      </w:r>
    </w:p>
    <w:p w14:paraId="247FDDAD" w14:textId="77777777" w:rsidR="004973FD" w:rsidRDefault="00CF2869" w:rsidP="004973FD">
      <w:pPr>
        <w:spacing w:before="0" w:after="0" w:line="259" w:lineRule="auto"/>
        <w:rPr>
          <w:rFonts w:cs="Arial"/>
        </w:rPr>
      </w:pPr>
      <w:hyperlink r:id="rId39" w:history="1">
        <w:r w:rsidR="004973FD" w:rsidRPr="00A44045">
          <w:rPr>
            <w:rStyle w:val="Hyperlink"/>
            <w:rFonts w:cs="Arial"/>
          </w:rPr>
          <w:t>https://www.hee.nhs.uk/our-work/medicines-optimisation/training-non-medical-prescribers</w:t>
        </w:r>
      </w:hyperlink>
    </w:p>
    <w:p w14:paraId="58680D23" w14:textId="77777777" w:rsidR="004973FD" w:rsidRPr="004973FD" w:rsidRDefault="004973FD" w:rsidP="004973FD">
      <w:pPr>
        <w:spacing w:before="0" w:after="0" w:line="259" w:lineRule="auto"/>
        <w:rPr>
          <w:rFonts w:cs="Arial"/>
        </w:rPr>
      </w:pPr>
    </w:p>
    <w:p w14:paraId="2ACCE902" w14:textId="77777777" w:rsidR="00093502" w:rsidRDefault="00093502" w:rsidP="00AC7BB7">
      <w:pPr>
        <w:spacing w:before="0" w:after="0" w:line="259" w:lineRule="auto"/>
        <w:rPr>
          <w:rFonts w:cs="Arial"/>
        </w:rPr>
      </w:pPr>
    </w:p>
    <w:p w14:paraId="1213BDC8" w14:textId="77777777" w:rsidR="00093502" w:rsidRPr="00DF672D" w:rsidRDefault="00093502" w:rsidP="00093502">
      <w:pPr>
        <w:pStyle w:val="Heading1"/>
        <w:jc w:val="left"/>
        <w:rPr>
          <w:rFonts w:eastAsia="Calibri"/>
          <w:color w:val="2F5496"/>
        </w:rPr>
      </w:pPr>
      <w:r>
        <w:br w:type="page"/>
      </w:r>
      <w:bookmarkStart w:id="28" w:name="_Toc39152530"/>
      <w:bookmarkStart w:id="29" w:name="_Toc46843653"/>
      <w:r w:rsidRPr="00DF672D">
        <w:rPr>
          <w:color w:val="2F5496"/>
        </w:rPr>
        <w:lastRenderedPageBreak/>
        <w:t xml:space="preserve">7.0 </w:t>
      </w:r>
      <w:r w:rsidRPr="00DF672D">
        <w:rPr>
          <w:rFonts w:eastAsia="Calibri"/>
          <w:color w:val="2F5496"/>
        </w:rPr>
        <w:t>Process for registering an NMP</w:t>
      </w:r>
      <w:bookmarkEnd w:id="28"/>
      <w:bookmarkEnd w:id="29"/>
    </w:p>
    <w:p w14:paraId="1A646325" w14:textId="77777777" w:rsidR="00093502" w:rsidRPr="00093502" w:rsidRDefault="00093502" w:rsidP="00093502">
      <w:pPr>
        <w:spacing w:before="0" w:after="0" w:line="259" w:lineRule="auto"/>
        <w:rPr>
          <w:rFonts w:cs="Arial"/>
        </w:rPr>
      </w:pPr>
      <w:r w:rsidRPr="00093502">
        <w:rPr>
          <w:rFonts w:cs="Arial"/>
        </w:rPr>
        <w:t xml:space="preserve">It is the responsibility of the </w:t>
      </w:r>
      <w:r w:rsidRPr="00D045E6">
        <w:rPr>
          <w:rFonts w:cs="Arial"/>
        </w:rPr>
        <w:t xml:space="preserve">employing </w:t>
      </w:r>
      <w:r w:rsidR="00625AA8" w:rsidRPr="00D045E6">
        <w:rPr>
          <w:rFonts w:cs="Arial"/>
        </w:rPr>
        <w:t>organisation</w:t>
      </w:r>
      <w:r w:rsidR="00625AA8">
        <w:rPr>
          <w:rFonts w:cs="Arial"/>
        </w:rPr>
        <w:t xml:space="preserve"> </w:t>
      </w:r>
      <w:r w:rsidRPr="00093502">
        <w:rPr>
          <w:rFonts w:cs="Arial"/>
        </w:rPr>
        <w:t xml:space="preserve">to check the </w:t>
      </w:r>
      <w:r w:rsidRPr="00093502">
        <w:rPr>
          <w:rFonts w:cs="Arial"/>
          <w:bCs/>
        </w:rPr>
        <w:t xml:space="preserve">registration &amp; </w:t>
      </w:r>
      <w:r w:rsidRPr="00093502">
        <w:rPr>
          <w:rFonts w:cs="Arial"/>
        </w:rPr>
        <w:t xml:space="preserve">qualifications of the NMP with the relevant professional regulatory body and retain a sample of the NMP’s signature. </w:t>
      </w:r>
      <w:r w:rsidRPr="00093502">
        <w:rPr>
          <w:rFonts w:cs="Arial"/>
          <w:bCs/>
        </w:rPr>
        <w:t xml:space="preserve">  </w:t>
      </w:r>
    </w:p>
    <w:p w14:paraId="183C52D8" w14:textId="77777777" w:rsidR="00093502" w:rsidRDefault="00093502" w:rsidP="00093502">
      <w:pPr>
        <w:spacing w:before="0" w:after="0" w:line="259" w:lineRule="auto"/>
        <w:rPr>
          <w:rFonts w:cs="Arial"/>
          <w:bCs/>
        </w:rPr>
      </w:pPr>
    </w:p>
    <w:p w14:paraId="5D42D81F" w14:textId="77777777" w:rsidR="00093502" w:rsidRPr="00093502" w:rsidRDefault="00093502" w:rsidP="00093502">
      <w:pPr>
        <w:spacing w:before="0" w:after="0" w:line="259" w:lineRule="auto"/>
        <w:rPr>
          <w:rFonts w:cs="Arial"/>
          <w:bCs/>
        </w:rPr>
      </w:pPr>
      <w:r w:rsidRPr="00093502">
        <w:rPr>
          <w:rFonts w:cs="Arial"/>
          <w:bCs/>
        </w:rPr>
        <w:t>The Medicines Optimisation Team will maintain a register of NMPs</w:t>
      </w:r>
      <w:r w:rsidR="00705457">
        <w:rPr>
          <w:rFonts w:cs="Arial"/>
          <w:bCs/>
        </w:rPr>
        <w:t>.</w:t>
      </w:r>
    </w:p>
    <w:p w14:paraId="686A0B2E" w14:textId="77777777" w:rsidR="00093502" w:rsidRDefault="00093502" w:rsidP="00093502">
      <w:pPr>
        <w:spacing w:before="0" w:after="0" w:line="259" w:lineRule="auto"/>
        <w:rPr>
          <w:rFonts w:cs="Arial"/>
          <w:bCs/>
        </w:rPr>
      </w:pPr>
    </w:p>
    <w:p w14:paraId="473BCF75" w14:textId="77777777" w:rsidR="00093502" w:rsidRDefault="00093502" w:rsidP="00093502">
      <w:pPr>
        <w:spacing w:before="0" w:after="0" w:line="259" w:lineRule="auto"/>
        <w:rPr>
          <w:rFonts w:cs="Arial"/>
        </w:rPr>
      </w:pPr>
      <w:r w:rsidRPr="00093502">
        <w:rPr>
          <w:rFonts w:cs="Arial"/>
          <w:bCs/>
        </w:rPr>
        <w:t>The NMP must provide the Medicines Optimisation Team with the completed documents listed in the Standard Operating procedure (SOP) fo</w:t>
      </w:r>
      <w:r w:rsidR="00DB5B34">
        <w:rPr>
          <w:rFonts w:cs="Arial"/>
          <w:bCs/>
        </w:rPr>
        <w:t xml:space="preserve">r registering </w:t>
      </w:r>
      <w:proofErr w:type="gramStart"/>
      <w:r w:rsidR="00DB5B34">
        <w:rPr>
          <w:rFonts w:cs="Arial"/>
          <w:bCs/>
        </w:rPr>
        <w:t>a</w:t>
      </w:r>
      <w:proofErr w:type="gramEnd"/>
      <w:r w:rsidR="00DB5B34">
        <w:rPr>
          <w:rFonts w:cs="Arial"/>
          <w:bCs/>
        </w:rPr>
        <w:t xml:space="preserve"> NMP (Appendix II</w:t>
      </w:r>
      <w:r w:rsidRPr="00093502">
        <w:rPr>
          <w:rFonts w:cs="Arial"/>
          <w:bCs/>
        </w:rPr>
        <w:t xml:space="preserve">).  </w:t>
      </w:r>
      <w:r w:rsidRPr="00093502">
        <w:rPr>
          <w:rFonts w:cs="Arial"/>
        </w:rPr>
        <w:t xml:space="preserve">The scope of practice form (Appendix </w:t>
      </w:r>
      <w:r w:rsidR="00DB5B34">
        <w:rPr>
          <w:rFonts w:cs="Arial"/>
          <w:bCs/>
        </w:rPr>
        <w:t>IV</w:t>
      </w:r>
      <w:r w:rsidRPr="00093502">
        <w:rPr>
          <w:rFonts w:cs="Arial"/>
        </w:rPr>
        <w:t xml:space="preserve">) should be completed by the NMP and authorised by </w:t>
      </w:r>
      <w:r w:rsidRPr="00093502">
        <w:rPr>
          <w:rFonts w:cs="Arial"/>
          <w:bCs/>
        </w:rPr>
        <w:t>the</w:t>
      </w:r>
      <w:r w:rsidRPr="00093502">
        <w:rPr>
          <w:rFonts w:cs="Arial"/>
        </w:rPr>
        <w:t xml:space="preserve"> line manager or the practice</w:t>
      </w:r>
      <w:r w:rsidRPr="00093502">
        <w:rPr>
          <w:rFonts w:cs="Arial"/>
          <w:bCs/>
        </w:rPr>
        <w:t xml:space="preserve"> lead clinician and submitted to the MOT</w:t>
      </w:r>
      <w:r w:rsidRPr="00093502">
        <w:rPr>
          <w:rFonts w:cs="Arial"/>
        </w:rPr>
        <w:t xml:space="preserve">. </w:t>
      </w:r>
    </w:p>
    <w:p w14:paraId="5C929CFC" w14:textId="77777777" w:rsidR="00093502" w:rsidRPr="00093502" w:rsidRDefault="00093502" w:rsidP="00093502">
      <w:pPr>
        <w:spacing w:before="0" w:after="0" w:line="259" w:lineRule="auto"/>
        <w:rPr>
          <w:rFonts w:cs="Arial"/>
        </w:rPr>
      </w:pPr>
    </w:p>
    <w:p w14:paraId="7F9D5572" w14:textId="77777777" w:rsidR="00093502" w:rsidRDefault="00093502" w:rsidP="00093502">
      <w:pPr>
        <w:spacing w:before="0" w:after="0" w:line="259" w:lineRule="auto"/>
        <w:rPr>
          <w:rFonts w:cs="Arial"/>
        </w:rPr>
      </w:pPr>
      <w:r w:rsidRPr="00093502">
        <w:rPr>
          <w:rFonts w:cs="Arial"/>
        </w:rPr>
        <w:t>It is important to provide the full name as it appears on the NMP’s certificate of registration to avoid delays in registration.</w:t>
      </w:r>
    </w:p>
    <w:p w14:paraId="51E3F7D1" w14:textId="77777777" w:rsidR="00093502" w:rsidRPr="00093502" w:rsidRDefault="00093502" w:rsidP="00093502">
      <w:pPr>
        <w:spacing w:before="0" w:after="0" w:line="259" w:lineRule="auto"/>
        <w:rPr>
          <w:rFonts w:cs="Arial"/>
        </w:rPr>
      </w:pPr>
    </w:p>
    <w:p w14:paraId="31A6DB14" w14:textId="77777777" w:rsidR="00093502" w:rsidRPr="00093502" w:rsidRDefault="00093502" w:rsidP="00093502">
      <w:pPr>
        <w:spacing w:before="0" w:after="0" w:line="259" w:lineRule="auto"/>
        <w:rPr>
          <w:rFonts w:cs="Arial"/>
          <w:bCs/>
        </w:rPr>
      </w:pPr>
      <w:r w:rsidRPr="00093502">
        <w:rPr>
          <w:rFonts w:cs="Arial"/>
          <w:b/>
          <w:bCs/>
        </w:rPr>
        <w:t>Appendix V</w:t>
      </w:r>
      <w:r w:rsidRPr="00093502">
        <w:rPr>
          <w:rFonts w:cs="Arial"/>
          <w:bCs/>
        </w:rPr>
        <w:t>: NMP joining a new organisation form should be completed for new NMPs.</w:t>
      </w:r>
    </w:p>
    <w:p w14:paraId="692F530C" w14:textId="77777777" w:rsidR="00093502" w:rsidRDefault="00093502" w:rsidP="00093502">
      <w:pPr>
        <w:spacing w:before="0" w:after="0" w:line="259" w:lineRule="auto"/>
        <w:rPr>
          <w:rFonts w:cs="Arial"/>
          <w:b/>
          <w:bCs/>
        </w:rPr>
      </w:pPr>
    </w:p>
    <w:p w14:paraId="5791E9D2" w14:textId="77777777" w:rsidR="00093502" w:rsidRPr="00093502" w:rsidRDefault="00093502" w:rsidP="00093502">
      <w:pPr>
        <w:spacing w:before="0" w:after="0" w:line="259" w:lineRule="auto"/>
        <w:rPr>
          <w:rFonts w:cs="Arial"/>
        </w:rPr>
      </w:pPr>
      <w:r w:rsidRPr="00093502">
        <w:rPr>
          <w:rFonts w:cs="Arial"/>
          <w:b/>
          <w:bCs/>
        </w:rPr>
        <w:t>Appendix VI:</w:t>
      </w:r>
      <w:r w:rsidRPr="00093502">
        <w:rPr>
          <w:rFonts w:cs="Arial"/>
          <w:bCs/>
        </w:rPr>
        <w:t xml:space="preserve"> Non-medical prescriber leaving a GP practice or cost centre form would need completion where the NMP leaves a practice or organisation.</w:t>
      </w:r>
      <w:r w:rsidRPr="00093502">
        <w:rPr>
          <w:rFonts w:cs="Arial"/>
        </w:rPr>
        <w:t xml:space="preserve"> This will prevent inappropriate prescription charges being made </w:t>
      </w:r>
      <w:r w:rsidRPr="00093502">
        <w:rPr>
          <w:rFonts w:cs="Arial"/>
          <w:bCs/>
        </w:rPr>
        <w:t>to the practice from which the NMP is leaving.</w:t>
      </w:r>
    </w:p>
    <w:p w14:paraId="13C3FDCD" w14:textId="77777777" w:rsidR="00093502" w:rsidRDefault="00093502" w:rsidP="00093502">
      <w:pPr>
        <w:spacing w:before="0" w:after="0" w:line="259" w:lineRule="auto"/>
        <w:rPr>
          <w:rFonts w:cs="Arial"/>
          <w:b/>
          <w:bCs/>
        </w:rPr>
      </w:pPr>
    </w:p>
    <w:p w14:paraId="60EC5326" w14:textId="77777777" w:rsidR="00093502" w:rsidRPr="00093502" w:rsidRDefault="00093502" w:rsidP="00093502">
      <w:pPr>
        <w:spacing w:before="0" w:after="0" w:line="259" w:lineRule="auto"/>
        <w:rPr>
          <w:rFonts w:cs="Arial"/>
          <w:bCs/>
        </w:rPr>
      </w:pPr>
      <w:r w:rsidRPr="00093502">
        <w:rPr>
          <w:rFonts w:cs="Arial"/>
          <w:b/>
          <w:bCs/>
        </w:rPr>
        <w:t>Appendix VII</w:t>
      </w:r>
      <w:r w:rsidRPr="00093502">
        <w:rPr>
          <w:rFonts w:cs="Arial"/>
          <w:bCs/>
        </w:rPr>
        <w:t>: Change of non-medical prescriber details form would only need to be completed there is a change in the personal details of the NMP such as a change in qualifications or a name change.</w:t>
      </w:r>
    </w:p>
    <w:p w14:paraId="653EC30D" w14:textId="77777777" w:rsidR="00093502" w:rsidRPr="00093502" w:rsidRDefault="00093502" w:rsidP="00093502">
      <w:pPr>
        <w:spacing w:before="0" w:after="0" w:line="259" w:lineRule="auto"/>
        <w:rPr>
          <w:rFonts w:cs="Arial"/>
          <w:bCs/>
        </w:rPr>
      </w:pPr>
    </w:p>
    <w:p w14:paraId="33CDB94B" w14:textId="77777777" w:rsidR="009D15BB" w:rsidRPr="009D15BB" w:rsidRDefault="009D15BB" w:rsidP="00093502">
      <w:pPr>
        <w:spacing w:before="0" w:after="0" w:line="259" w:lineRule="auto"/>
        <w:rPr>
          <w:rFonts w:cs="Arial"/>
          <w:b/>
        </w:rPr>
      </w:pPr>
      <w:r w:rsidRPr="009D15BB">
        <w:rPr>
          <w:rFonts w:cs="Arial"/>
          <w:b/>
        </w:rPr>
        <w:t xml:space="preserve">Organisation Name is </w:t>
      </w:r>
      <w:r w:rsidR="00705457">
        <w:rPr>
          <w:rFonts w:cs="Arial"/>
          <w:b/>
        </w:rPr>
        <w:t xml:space="preserve">NHS </w:t>
      </w:r>
      <w:r w:rsidRPr="009D15BB">
        <w:rPr>
          <w:rFonts w:cs="Arial"/>
          <w:b/>
        </w:rPr>
        <w:t>North East London and the code is A3A8R.</w:t>
      </w:r>
    </w:p>
    <w:p w14:paraId="764A377A" w14:textId="77777777" w:rsidR="009D15BB" w:rsidRDefault="009D15BB" w:rsidP="00093502">
      <w:pPr>
        <w:spacing w:before="0" w:after="0" w:line="259" w:lineRule="auto"/>
        <w:rPr>
          <w:rFonts w:cs="Arial"/>
        </w:rPr>
      </w:pPr>
    </w:p>
    <w:p w14:paraId="183F3D3B" w14:textId="77777777" w:rsidR="003426B2" w:rsidRDefault="00093502" w:rsidP="00093502">
      <w:pPr>
        <w:spacing w:before="0" w:after="0" w:line="259" w:lineRule="auto"/>
        <w:rPr>
          <w:rFonts w:cs="Arial"/>
          <w:bCs/>
        </w:rPr>
      </w:pPr>
      <w:r w:rsidRPr="00093502">
        <w:rPr>
          <w:rFonts w:cs="Arial"/>
        </w:rPr>
        <w:t xml:space="preserve">The </w:t>
      </w:r>
      <w:r w:rsidRPr="00093502">
        <w:rPr>
          <w:rFonts w:cs="Arial"/>
          <w:bCs/>
        </w:rPr>
        <w:t>delegated member of the Medicines Optimisation</w:t>
      </w:r>
      <w:r w:rsidRPr="00093502">
        <w:rPr>
          <w:rFonts w:cs="Arial"/>
        </w:rPr>
        <w:t xml:space="preserve"> Team </w:t>
      </w:r>
      <w:r w:rsidRPr="00093502">
        <w:rPr>
          <w:rFonts w:cs="Arial"/>
          <w:bCs/>
        </w:rPr>
        <w:t xml:space="preserve">will complete and sign the relevant form as the </w:t>
      </w:r>
      <w:r w:rsidRPr="00093502">
        <w:rPr>
          <w:rFonts w:cs="Arial"/>
        </w:rPr>
        <w:t xml:space="preserve">authorised </w:t>
      </w:r>
      <w:r w:rsidRPr="00093502">
        <w:rPr>
          <w:rFonts w:cs="Arial"/>
          <w:bCs/>
        </w:rPr>
        <w:t xml:space="preserve">signatory and email it </w:t>
      </w:r>
      <w:r w:rsidRPr="00093502">
        <w:rPr>
          <w:rFonts w:cs="Arial"/>
        </w:rPr>
        <w:t>to the NHS</w:t>
      </w:r>
      <w:r w:rsidR="003426B2">
        <w:rPr>
          <w:rFonts w:cs="Arial"/>
        </w:rPr>
        <w:t xml:space="preserve"> </w:t>
      </w:r>
      <w:r w:rsidRPr="00093502">
        <w:rPr>
          <w:rFonts w:cs="Arial"/>
        </w:rPr>
        <w:t>BSA (</w:t>
      </w:r>
      <w:r w:rsidR="003426B2">
        <w:rPr>
          <w:rFonts w:cs="Arial"/>
        </w:rPr>
        <w:t>c</w:t>
      </w:r>
      <w:r w:rsidRPr="00093502">
        <w:rPr>
          <w:rFonts w:cs="Arial"/>
        </w:rPr>
        <w:t>c the NMP into the email)</w:t>
      </w:r>
      <w:r w:rsidRPr="00093502">
        <w:rPr>
          <w:rFonts w:cs="Arial"/>
          <w:bCs/>
        </w:rPr>
        <w:t xml:space="preserve">. The NMP must not commence prescribing prior to receiving confirmation of registration from NHSBSA. </w:t>
      </w:r>
    </w:p>
    <w:p w14:paraId="4D1CC84A" w14:textId="77777777" w:rsidR="00093502" w:rsidRDefault="00093502" w:rsidP="00093502">
      <w:pPr>
        <w:spacing w:before="0" w:after="0" w:line="259" w:lineRule="auto"/>
        <w:rPr>
          <w:rFonts w:cs="Arial"/>
        </w:rPr>
      </w:pPr>
      <w:r w:rsidRPr="00093502">
        <w:rPr>
          <w:rFonts w:cs="Arial"/>
          <w:bCs/>
        </w:rPr>
        <w:t>The registering memb</w:t>
      </w:r>
      <w:r w:rsidRPr="00093502">
        <w:rPr>
          <w:rFonts w:cs="Arial"/>
        </w:rPr>
        <w:t xml:space="preserve">er of the MOT must complete the </w:t>
      </w:r>
      <w:r w:rsidR="003426B2">
        <w:rPr>
          <w:rFonts w:cs="Arial"/>
        </w:rPr>
        <w:t xml:space="preserve">internal </w:t>
      </w:r>
      <w:r w:rsidRPr="00093502">
        <w:rPr>
          <w:rFonts w:cs="Arial"/>
        </w:rPr>
        <w:t>NMP register with required details</w:t>
      </w:r>
    </w:p>
    <w:p w14:paraId="643CA023" w14:textId="77777777" w:rsidR="003426B2" w:rsidRDefault="003426B2" w:rsidP="00093502">
      <w:pPr>
        <w:spacing w:before="0" w:after="0" w:line="259" w:lineRule="auto"/>
        <w:rPr>
          <w:rFonts w:cs="Arial"/>
        </w:rPr>
      </w:pPr>
    </w:p>
    <w:p w14:paraId="04D85614" w14:textId="77777777" w:rsidR="003426B2" w:rsidRPr="00093502" w:rsidRDefault="003426B2" w:rsidP="00093502">
      <w:pPr>
        <w:spacing w:before="0" w:after="0" w:line="259" w:lineRule="auto"/>
        <w:rPr>
          <w:rFonts w:cs="Arial"/>
          <w:bCs/>
        </w:rPr>
      </w:pPr>
    </w:p>
    <w:p w14:paraId="7A6AFE4D" w14:textId="77777777" w:rsidR="00CC2A63" w:rsidRPr="00DF672D" w:rsidRDefault="00CC2A63" w:rsidP="00CC2A63">
      <w:pPr>
        <w:pStyle w:val="Heading1"/>
        <w:jc w:val="left"/>
        <w:rPr>
          <w:color w:val="2F5496"/>
        </w:rPr>
      </w:pPr>
      <w:bookmarkStart w:id="30" w:name="_Toc39152531"/>
      <w:bookmarkStart w:id="31" w:name="_Toc46843654"/>
      <w:r w:rsidRPr="00DF672D">
        <w:rPr>
          <w:color w:val="2F5496"/>
        </w:rPr>
        <w:t>8.0 Prescribing</w:t>
      </w:r>
      <w:bookmarkEnd w:id="30"/>
      <w:bookmarkEnd w:id="31"/>
      <w:r w:rsidR="004973FD">
        <w:rPr>
          <w:color w:val="2F5496"/>
        </w:rPr>
        <w:t xml:space="preserve"> principles and quality</w:t>
      </w:r>
    </w:p>
    <w:p w14:paraId="75AAC349" w14:textId="77777777" w:rsidR="00CC2A63" w:rsidRPr="00CC2A63" w:rsidRDefault="00CC2A63" w:rsidP="00CC2A63"/>
    <w:p w14:paraId="3312B657" w14:textId="77777777" w:rsidR="00CC2A63" w:rsidRPr="0070797B" w:rsidRDefault="00CC2A63" w:rsidP="00644D19">
      <w:pPr>
        <w:pStyle w:val="Heading2"/>
        <w:jc w:val="left"/>
        <w:rPr>
          <w:color w:val="2F5496"/>
        </w:rPr>
      </w:pPr>
      <w:bookmarkStart w:id="32" w:name="_Toc39152532"/>
      <w:bookmarkStart w:id="33" w:name="_Toc46843655"/>
      <w:r w:rsidRPr="0070797B">
        <w:rPr>
          <w:color w:val="2F5496"/>
        </w:rPr>
        <w:t>8.1 Patient Assessment</w:t>
      </w:r>
      <w:bookmarkEnd w:id="32"/>
      <w:bookmarkEnd w:id="33"/>
    </w:p>
    <w:p w14:paraId="6FE9F3F4" w14:textId="77777777" w:rsidR="00CC2A63" w:rsidRDefault="00CC2A63" w:rsidP="00CC2A63">
      <w:pPr>
        <w:spacing w:before="0" w:after="0" w:line="259" w:lineRule="auto"/>
        <w:rPr>
          <w:rFonts w:cs="Arial"/>
          <w:bCs/>
        </w:rPr>
      </w:pPr>
      <w:r w:rsidRPr="00CC2A63">
        <w:rPr>
          <w:rFonts w:cs="Arial"/>
          <w:bCs/>
        </w:rPr>
        <w:t>All non-medical prescribers must ensure that the patient gives their informed consent to treatment.</w:t>
      </w:r>
      <w:r>
        <w:rPr>
          <w:rFonts w:cs="Arial"/>
          <w:bCs/>
        </w:rPr>
        <w:t xml:space="preserve"> When prescribing, the NMP must:</w:t>
      </w:r>
    </w:p>
    <w:p w14:paraId="7D40DB5C" w14:textId="77777777" w:rsidR="00CC2A63" w:rsidRPr="00CC2A63" w:rsidRDefault="00CC2A63" w:rsidP="00CC2A63">
      <w:pPr>
        <w:spacing w:before="0" w:after="0" w:line="259" w:lineRule="auto"/>
        <w:rPr>
          <w:rFonts w:cs="Arial"/>
          <w:bCs/>
        </w:rPr>
      </w:pPr>
    </w:p>
    <w:p w14:paraId="3C2C6536" w14:textId="77777777" w:rsidR="00CC2A63" w:rsidRPr="00CC2A63" w:rsidRDefault="00CC2A63" w:rsidP="004A15C9">
      <w:pPr>
        <w:numPr>
          <w:ilvl w:val="0"/>
          <w:numId w:val="14"/>
        </w:numPr>
        <w:spacing w:before="0" w:after="0" w:line="259" w:lineRule="auto"/>
        <w:rPr>
          <w:rFonts w:cs="Arial"/>
          <w:bCs/>
        </w:rPr>
      </w:pPr>
      <w:r w:rsidRPr="00CC2A63">
        <w:rPr>
          <w:rFonts w:cs="Arial"/>
          <w:bCs/>
        </w:rPr>
        <w:t>Identify the likely cause of the person’s medical condition</w:t>
      </w:r>
    </w:p>
    <w:p w14:paraId="0E33AE26" w14:textId="77777777" w:rsidR="00CC2A63" w:rsidRPr="00CC2A63" w:rsidRDefault="00CC2A63" w:rsidP="004A15C9">
      <w:pPr>
        <w:numPr>
          <w:ilvl w:val="0"/>
          <w:numId w:val="14"/>
        </w:numPr>
        <w:spacing w:before="0" w:after="0" w:line="259" w:lineRule="auto"/>
        <w:rPr>
          <w:rFonts w:cs="Arial"/>
          <w:bCs/>
        </w:rPr>
      </w:pPr>
      <w:r w:rsidRPr="00CC2A63">
        <w:rPr>
          <w:rFonts w:cs="Arial"/>
          <w:bCs/>
        </w:rPr>
        <w:t>Establish current medical conditions, history and concurrent or recent use of other medications including non-prescription medicines</w:t>
      </w:r>
    </w:p>
    <w:p w14:paraId="6FACA000" w14:textId="77777777" w:rsidR="00CC2A63" w:rsidRDefault="00CC2A63" w:rsidP="004A15C9">
      <w:pPr>
        <w:numPr>
          <w:ilvl w:val="0"/>
          <w:numId w:val="14"/>
        </w:numPr>
        <w:spacing w:before="0" w:after="0" w:line="259" w:lineRule="auto"/>
        <w:rPr>
          <w:rFonts w:cs="Arial"/>
          <w:bCs/>
        </w:rPr>
      </w:pPr>
      <w:r w:rsidRPr="00CC2A63">
        <w:rPr>
          <w:rFonts w:cs="Arial"/>
          <w:bCs/>
        </w:rPr>
        <w:t>Ensure that there is sufficient justification to prescribe the medicines/treatment proposed. Where appropriate the NMP should discuss other treatment options with the patient and / or a medical practitioner</w:t>
      </w:r>
    </w:p>
    <w:p w14:paraId="4C8302AE" w14:textId="77777777" w:rsidR="00914C94" w:rsidRPr="00914C94" w:rsidRDefault="00914C94" w:rsidP="004A15C9">
      <w:pPr>
        <w:numPr>
          <w:ilvl w:val="0"/>
          <w:numId w:val="14"/>
        </w:numPr>
        <w:rPr>
          <w:rFonts w:cs="Arial"/>
          <w:bCs/>
        </w:rPr>
      </w:pPr>
      <w:r w:rsidRPr="00914C94">
        <w:rPr>
          <w:rFonts w:cs="Arial"/>
          <w:bCs/>
        </w:rPr>
        <w:t>Ensure that the treatment and medicines are not contra-indicated for the patient and make a clear, accurate and legible record of all medicines prescribed</w:t>
      </w:r>
    </w:p>
    <w:p w14:paraId="590AAF97" w14:textId="77777777" w:rsidR="00914C94" w:rsidRPr="0070797B" w:rsidRDefault="00914C94" w:rsidP="00644D19">
      <w:pPr>
        <w:pStyle w:val="Heading2"/>
        <w:jc w:val="left"/>
        <w:rPr>
          <w:rFonts w:eastAsia="Calibri"/>
          <w:color w:val="2F5496"/>
        </w:rPr>
      </w:pPr>
      <w:r>
        <w:br w:type="page"/>
      </w:r>
      <w:bookmarkStart w:id="34" w:name="_Toc39152533"/>
      <w:bookmarkStart w:id="35" w:name="_Toc46843656"/>
      <w:r w:rsidRPr="0070797B">
        <w:rPr>
          <w:color w:val="2F5496"/>
        </w:rPr>
        <w:lastRenderedPageBreak/>
        <w:t xml:space="preserve">8.2 </w:t>
      </w:r>
      <w:r w:rsidRPr="0070797B">
        <w:rPr>
          <w:rFonts w:eastAsia="Calibri"/>
          <w:color w:val="2F5496"/>
        </w:rPr>
        <w:t>Writing and Issuing Prescriptions</w:t>
      </w:r>
      <w:bookmarkEnd w:id="34"/>
      <w:bookmarkEnd w:id="35"/>
    </w:p>
    <w:p w14:paraId="09FF20A8" w14:textId="77777777" w:rsidR="00914C94" w:rsidRPr="00914C94" w:rsidRDefault="00914C94" w:rsidP="00914C94">
      <w:pPr>
        <w:spacing w:before="0" w:after="0" w:line="259" w:lineRule="auto"/>
        <w:rPr>
          <w:rFonts w:cs="Arial"/>
          <w:bCs/>
        </w:rPr>
      </w:pPr>
      <w:r w:rsidRPr="00914C94">
        <w:rPr>
          <w:rFonts w:cs="Arial"/>
          <w:bCs/>
        </w:rPr>
        <w:t>All prescriptions across England are being digitalised, with most now electronic, to make the issuing of prescriptions more efficient for NHS staff and patients.</w:t>
      </w:r>
    </w:p>
    <w:p w14:paraId="1B94769E" w14:textId="77777777" w:rsidR="00914C94" w:rsidRPr="00914C94" w:rsidRDefault="00914C94" w:rsidP="00914C94">
      <w:pPr>
        <w:spacing w:before="0" w:after="0" w:line="259" w:lineRule="auto"/>
        <w:rPr>
          <w:rFonts w:cs="Arial"/>
          <w:bCs/>
        </w:rPr>
      </w:pPr>
    </w:p>
    <w:p w14:paraId="29975DF9" w14:textId="77777777" w:rsidR="00914C94" w:rsidRPr="00914C94" w:rsidRDefault="00914C94" w:rsidP="00914C94">
      <w:pPr>
        <w:spacing w:before="0" w:after="0" w:line="259" w:lineRule="auto"/>
        <w:rPr>
          <w:rFonts w:cs="Arial"/>
          <w:bCs/>
        </w:rPr>
      </w:pPr>
      <w:r w:rsidRPr="00914C94">
        <w:rPr>
          <w:rFonts w:cs="Arial"/>
          <w:bCs/>
        </w:rPr>
        <w:t>The Electronic Prescription Service (EPS) has been rolled out to all practices and community pharmacies, therefore prescriptions should be computer generated and meet all the legal requirements for writing prescriptions.</w:t>
      </w:r>
    </w:p>
    <w:p w14:paraId="2EFCD361" w14:textId="77777777" w:rsidR="00914C94" w:rsidRPr="00914C94" w:rsidRDefault="00914C94" w:rsidP="00914C94">
      <w:pPr>
        <w:spacing w:before="0" w:after="0" w:line="259" w:lineRule="auto"/>
        <w:rPr>
          <w:rFonts w:cs="Arial"/>
          <w:bCs/>
        </w:rPr>
      </w:pPr>
    </w:p>
    <w:p w14:paraId="3445F360" w14:textId="77777777" w:rsidR="00914C94" w:rsidRDefault="00914C94" w:rsidP="00914C94">
      <w:pPr>
        <w:spacing w:before="0" w:after="0" w:line="259" w:lineRule="auto"/>
        <w:rPr>
          <w:rFonts w:cs="Arial"/>
          <w:bCs/>
        </w:rPr>
      </w:pPr>
      <w:r w:rsidRPr="00914C94">
        <w:rPr>
          <w:rFonts w:cs="Arial"/>
          <w:bCs/>
        </w:rPr>
        <w:t>The prescriber will act within their scope of practice and acknowledge any limitations in their competence and where necessary, make alternative arrangements for the patient’s care. This may include referral to other medical or non-medical colleagues within their organisation or primary/community care services.</w:t>
      </w:r>
    </w:p>
    <w:p w14:paraId="7A967A1F" w14:textId="77777777" w:rsidR="00914C94" w:rsidRPr="00914C94" w:rsidRDefault="00914C94" w:rsidP="00914C94">
      <w:pPr>
        <w:spacing w:before="0" w:after="0" w:line="259" w:lineRule="auto"/>
        <w:rPr>
          <w:rFonts w:cs="Arial"/>
          <w:bCs/>
        </w:rPr>
      </w:pPr>
    </w:p>
    <w:p w14:paraId="79D7E5B4" w14:textId="77777777" w:rsidR="00914C94" w:rsidRPr="00914C94" w:rsidRDefault="00914C94" w:rsidP="00914C94">
      <w:pPr>
        <w:spacing w:before="0" w:after="0" w:line="259" w:lineRule="auto"/>
        <w:rPr>
          <w:rFonts w:cs="Arial"/>
          <w:bCs/>
        </w:rPr>
      </w:pPr>
      <w:r w:rsidRPr="00914C94">
        <w:rPr>
          <w:rFonts w:cs="Arial"/>
          <w:bCs/>
        </w:rPr>
        <w:t xml:space="preserve">Prescribers should only issue prescriptions bearing their own unique prescriber number and should not issue prescriptions on the behalf of other colleagues. The accountability for the prescription rests with the NMP who issues and/or signs the prescription.  Supplementary prescribers should only prescribe for patients who have agreed Clinical Management Plans (CMPs).  </w:t>
      </w:r>
    </w:p>
    <w:p w14:paraId="6A9420B3" w14:textId="77777777" w:rsidR="00914C94" w:rsidRPr="00CC2A63" w:rsidRDefault="00914C94" w:rsidP="00914C94">
      <w:pPr>
        <w:spacing w:before="0" w:after="0" w:line="259" w:lineRule="auto"/>
        <w:ind w:left="720"/>
        <w:rPr>
          <w:rFonts w:cs="Arial"/>
          <w:bCs/>
        </w:rPr>
      </w:pPr>
    </w:p>
    <w:p w14:paraId="4FB76C09" w14:textId="77777777" w:rsidR="00093502" w:rsidRPr="00AC7BB7" w:rsidRDefault="00093502" w:rsidP="00AC7BB7">
      <w:pPr>
        <w:spacing w:before="0" w:after="0" w:line="259" w:lineRule="auto"/>
        <w:rPr>
          <w:rFonts w:cs="Arial"/>
        </w:rPr>
      </w:pPr>
    </w:p>
    <w:p w14:paraId="4AB87C85" w14:textId="77777777" w:rsidR="00914C94" w:rsidRPr="0070797B" w:rsidRDefault="00914C94" w:rsidP="00644D19">
      <w:pPr>
        <w:pStyle w:val="Heading2"/>
        <w:jc w:val="left"/>
        <w:rPr>
          <w:color w:val="2F5496"/>
        </w:rPr>
      </w:pPr>
      <w:bookmarkStart w:id="36" w:name="_Toc39152534"/>
      <w:bookmarkStart w:id="37" w:name="_Toc46843657"/>
      <w:r w:rsidRPr="0070797B">
        <w:rPr>
          <w:color w:val="2F5496"/>
        </w:rPr>
        <w:t>8.3 Generic Prescribing</w:t>
      </w:r>
      <w:bookmarkEnd w:id="36"/>
      <w:bookmarkEnd w:id="37"/>
    </w:p>
    <w:p w14:paraId="228DDFB2" w14:textId="77777777" w:rsidR="00914C94" w:rsidRDefault="00914C94" w:rsidP="00914C94">
      <w:pPr>
        <w:spacing w:before="0" w:after="0" w:line="259" w:lineRule="auto"/>
        <w:rPr>
          <w:rFonts w:cs="Arial"/>
          <w:bCs/>
        </w:rPr>
      </w:pPr>
      <w:r w:rsidRPr="00914C94">
        <w:rPr>
          <w:rFonts w:cs="Arial"/>
        </w:rPr>
        <w:t xml:space="preserve">All NMP’s are reminded to prescribe generically, except where this would not be clinically appropriate or where there is no approved generic name. </w:t>
      </w:r>
      <w:r w:rsidRPr="00914C94">
        <w:rPr>
          <w:rFonts w:cs="Arial"/>
          <w:bCs/>
        </w:rPr>
        <w:t xml:space="preserve">The table below </w:t>
      </w:r>
      <w:r>
        <w:rPr>
          <w:rFonts w:cs="Arial"/>
          <w:bCs/>
        </w:rPr>
        <w:t xml:space="preserve">(Table 1) </w:t>
      </w:r>
      <w:r w:rsidRPr="00914C94">
        <w:rPr>
          <w:rFonts w:cs="Arial"/>
          <w:bCs/>
        </w:rPr>
        <w:t xml:space="preserve">highlights some medicines that should not be prescribed generically.  Please note: the list is not exhaustive and therefore should be used in the most up to date version of the BNF.  At the end of the section there are some useful links which may support safe prescribing. Inhalers should be prescribed by </w:t>
      </w:r>
      <w:r w:rsidRPr="00914C94">
        <w:rPr>
          <w:rFonts w:cs="Arial"/>
          <w:b/>
          <w:bCs/>
        </w:rPr>
        <w:t xml:space="preserve">BRAND </w:t>
      </w:r>
      <w:r w:rsidRPr="00914C94">
        <w:rPr>
          <w:rFonts w:cs="Arial"/>
          <w:bCs/>
        </w:rPr>
        <w:t xml:space="preserve">and </w:t>
      </w:r>
      <w:r w:rsidRPr="00914C94">
        <w:rPr>
          <w:rFonts w:cs="Arial"/>
          <w:b/>
          <w:bCs/>
        </w:rPr>
        <w:t>DEVICE</w:t>
      </w:r>
      <w:r w:rsidRPr="00914C94">
        <w:rPr>
          <w:rFonts w:cs="Arial"/>
          <w:bCs/>
        </w:rPr>
        <w:t xml:space="preserve">. </w:t>
      </w:r>
      <w:r w:rsidRPr="00914C94">
        <w:rPr>
          <w:rFonts w:cs="Arial"/>
          <w:bCs/>
        </w:rPr>
        <w:br/>
      </w:r>
    </w:p>
    <w:p w14:paraId="37CB804A" w14:textId="77777777" w:rsidR="00914C94" w:rsidRPr="0070797B" w:rsidRDefault="005D07F7" w:rsidP="00644D19">
      <w:pPr>
        <w:pStyle w:val="Heading3"/>
        <w:jc w:val="left"/>
        <w:rPr>
          <w:color w:val="2F5496"/>
        </w:rPr>
      </w:pPr>
      <w:bookmarkStart w:id="38" w:name="_Toc46843658"/>
      <w:r>
        <w:rPr>
          <w:color w:val="2F5496"/>
        </w:rPr>
        <w:t>8.3.1</w:t>
      </w:r>
      <w:r w:rsidR="00914C94" w:rsidRPr="0070797B">
        <w:rPr>
          <w:color w:val="2F5496"/>
        </w:rPr>
        <w:t xml:space="preserve"> Anti-epileptic Drugs (AED)</w:t>
      </w:r>
      <w:bookmarkEnd w:id="38"/>
    </w:p>
    <w:p w14:paraId="15055B72" w14:textId="77777777" w:rsidR="00914C94" w:rsidRDefault="00914C94" w:rsidP="00914C94">
      <w:pPr>
        <w:spacing w:before="0" w:after="0" w:line="259" w:lineRule="auto"/>
        <w:rPr>
          <w:rFonts w:cs="Arial"/>
          <w:bCs/>
        </w:rPr>
      </w:pPr>
      <w:r w:rsidRPr="00914C94">
        <w:rPr>
          <w:rFonts w:cs="Arial"/>
          <w:bCs/>
        </w:rPr>
        <w:t xml:space="preserve">Majority of anti-epileptics needs to be prescribed by </w:t>
      </w:r>
      <w:r w:rsidRPr="00914C94">
        <w:rPr>
          <w:rFonts w:cs="Arial"/>
          <w:b/>
          <w:bCs/>
        </w:rPr>
        <w:t xml:space="preserve">BRAND. </w:t>
      </w:r>
      <w:r w:rsidRPr="00914C94">
        <w:rPr>
          <w:rFonts w:cs="Arial"/>
          <w:lang w:val="en"/>
        </w:rPr>
        <w:t xml:space="preserve">Antiepileptic drugs (AEDs) vary considerably in their characteristics, which influences the risk of whether switching between different manufacturers’ products of a particular drug may cause adverse effects or loss of seizure control. AEDs have been divided into three risk-based categories to help healthcare professionals decide whether it is necessary to maintain continuity of supply of a specific manufacturer’s product. Please refer to the </w:t>
      </w:r>
      <w:hyperlink r:id="rId40" w:history="1">
        <w:r w:rsidRPr="00914C94">
          <w:rPr>
            <w:rStyle w:val="Hyperlink"/>
            <w:rFonts w:cs="Arial"/>
            <w:bCs/>
          </w:rPr>
          <w:t>MHRA drug safety update</w:t>
        </w:r>
      </w:hyperlink>
      <w:r w:rsidR="000524ED">
        <w:rPr>
          <w:rFonts w:cs="Arial"/>
          <w:vertAlign w:val="superscript"/>
        </w:rPr>
        <w:t>16</w:t>
      </w:r>
      <w:r w:rsidR="000524ED" w:rsidRPr="005E6CE0">
        <w:rPr>
          <w:rFonts w:cs="Arial"/>
          <w:bCs/>
        </w:rPr>
        <w:t xml:space="preserve"> </w:t>
      </w:r>
      <w:r w:rsidR="000524ED" w:rsidRPr="00914C94">
        <w:rPr>
          <w:rFonts w:cs="Arial"/>
          <w:bCs/>
        </w:rPr>
        <w:t>on</w:t>
      </w:r>
      <w:r w:rsidRPr="00914C94">
        <w:rPr>
          <w:rFonts w:cs="Arial"/>
          <w:bCs/>
        </w:rPr>
        <w:t xml:space="preserve">-switching between different </w:t>
      </w:r>
      <w:r w:rsidRPr="00914C94">
        <w:rPr>
          <w:rFonts w:cs="Arial"/>
          <w:lang w:val="en"/>
        </w:rPr>
        <w:t>anti-epileptics</w:t>
      </w:r>
      <w:r w:rsidRPr="00914C94">
        <w:rPr>
          <w:rFonts w:cs="Arial"/>
          <w:bCs/>
        </w:rPr>
        <w:t xml:space="preserve"> products.</w:t>
      </w:r>
    </w:p>
    <w:p w14:paraId="0991DF9C" w14:textId="77777777" w:rsidR="00914C94" w:rsidRPr="00914C94" w:rsidRDefault="00914C94" w:rsidP="00914C94">
      <w:pPr>
        <w:spacing w:before="0" w:after="0" w:line="259" w:lineRule="auto"/>
        <w:rPr>
          <w:rFonts w:cs="Arial"/>
          <w:bCs/>
        </w:rPr>
      </w:pPr>
    </w:p>
    <w:p w14:paraId="3C3C2A2E" w14:textId="77777777" w:rsidR="00914C94" w:rsidRPr="00914C94" w:rsidRDefault="00914C94" w:rsidP="00914C94">
      <w:pPr>
        <w:spacing w:before="0" w:after="0" w:line="259" w:lineRule="auto"/>
        <w:rPr>
          <w:rFonts w:cs="Arial"/>
          <w:bCs/>
        </w:rPr>
      </w:pPr>
      <w:r w:rsidRPr="00914C94">
        <w:rPr>
          <w:rFonts w:cs="Arial"/>
          <w:bCs/>
        </w:rPr>
        <w:t xml:space="preserve">The AED categories are listed below: </w:t>
      </w:r>
    </w:p>
    <w:p w14:paraId="6B2AFDA0" w14:textId="77777777" w:rsidR="00914C94" w:rsidRDefault="00914C94" w:rsidP="004A15C9">
      <w:pPr>
        <w:numPr>
          <w:ilvl w:val="0"/>
          <w:numId w:val="15"/>
        </w:numPr>
        <w:spacing w:before="0" w:after="0" w:line="259" w:lineRule="auto"/>
        <w:rPr>
          <w:rFonts w:cs="Arial"/>
          <w:b/>
          <w:bCs/>
        </w:rPr>
      </w:pPr>
      <w:r w:rsidRPr="00914C94">
        <w:rPr>
          <w:rFonts w:cs="Arial"/>
          <w:b/>
          <w:bCs/>
        </w:rPr>
        <w:t>Category 1 – phenytoin, carbamazepine, phenobarbital, primidone</w:t>
      </w:r>
    </w:p>
    <w:p w14:paraId="6B50D7F0" w14:textId="77777777" w:rsidR="00914C94" w:rsidRPr="00914C94" w:rsidRDefault="00914C94" w:rsidP="004A15C9">
      <w:pPr>
        <w:numPr>
          <w:ilvl w:val="1"/>
          <w:numId w:val="15"/>
        </w:numPr>
        <w:spacing w:before="0" w:after="0" w:line="259" w:lineRule="auto"/>
        <w:rPr>
          <w:rFonts w:cs="Arial"/>
          <w:b/>
          <w:bCs/>
        </w:rPr>
      </w:pPr>
      <w:r w:rsidRPr="00914C94">
        <w:rPr>
          <w:rFonts w:cs="Arial"/>
          <w:bCs/>
        </w:rPr>
        <w:t xml:space="preserve">For these drugs, doctors are advised to ensure that their patient is maintained on a specific manufacturer’s product </w:t>
      </w:r>
    </w:p>
    <w:p w14:paraId="1778F2EC" w14:textId="77777777" w:rsidR="00914C94" w:rsidRPr="00914C94" w:rsidRDefault="00914C94" w:rsidP="00914C94">
      <w:pPr>
        <w:spacing w:before="0" w:after="0" w:line="259" w:lineRule="auto"/>
        <w:ind w:left="1440"/>
        <w:rPr>
          <w:rFonts w:cs="Arial"/>
          <w:b/>
          <w:bCs/>
        </w:rPr>
      </w:pPr>
    </w:p>
    <w:p w14:paraId="160C0E65" w14:textId="77777777" w:rsidR="00914C94" w:rsidRDefault="00914C94" w:rsidP="004A15C9">
      <w:pPr>
        <w:numPr>
          <w:ilvl w:val="0"/>
          <w:numId w:val="15"/>
        </w:numPr>
        <w:spacing w:before="0" w:after="0" w:line="259" w:lineRule="auto"/>
        <w:rPr>
          <w:rFonts w:cs="Arial"/>
          <w:b/>
          <w:bCs/>
        </w:rPr>
      </w:pPr>
      <w:r w:rsidRPr="00914C94">
        <w:rPr>
          <w:rFonts w:cs="Arial"/>
          <w:b/>
          <w:bCs/>
        </w:rPr>
        <w:t>Category 2 – valproate, lamotrigine, perampanel, retigabine, rufinamide, clobazam, clonazepam, oxcarbazepine, eslicarbazepine, zonisamide, topiramate</w:t>
      </w:r>
    </w:p>
    <w:p w14:paraId="6790F72E" w14:textId="77777777" w:rsidR="00914C94" w:rsidRPr="00914C94" w:rsidRDefault="00914C94" w:rsidP="004A15C9">
      <w:pPr>
        <w:numPr>
          <w:ilvl w:val="1"/>
          <w:numId w:val="15"/>
        </w:numPr>
        <w:spacing w:before="0" w:after="0" w:line="259" w:lineRule="auto"/>
        <w:rPr>
          <w:rFonts w:cs="Arial"/>
          <w:b/>
          <w:bCs/>
        </w:rPr>
      </w:pPr>
      <w:r w:rsidRPr="00914C94">
        <w:rPr>
          <w:rFonts w:cs="Arial"/>
          <w:bCs/>
        </w:rPr>
        <w:t xml:space="preserve">For these drugs, the need for continued supply of a particular manufacturer’s product should be based on clinical judgement and consultation with patient and/or carer, </w:t>
      </w:r>
      <w:r w:rsidR="004973FD" w:rsidRPr="00914C94">
        <w:rPr>
          <w:rFonts w:cs="Arial"/>
          <w:bCs/>
        </w:rPr>
        <w:t>considering</w:t>
      </w:r>
      <w:r w:rsidRPr="00914C94">
        <w:rPr>
          <w:rFonts w:cs="Arial"/>
          <w:bCs/>
        </w:rPr>
        <w:t xml:space="preserve"> factors such as seizure frequency and treatment history </w:t>
      </w:r>
    </w:p>
    <w:p w14:paraId="3F678C48" w14:textId="77777777" w:rsidR="00914C94" w:rsidRDefault="00914C94" w:rsidP="00914C94">
      <w:pPr>
        <w:spacing w:before="0" w:after="0" w:line="259" w:lineRule="auto"/>
        <w:rPr>
          <w:rFonts w:cs="Arial"/>
          <w:b/>
          <w:bCs/>
        </w:rPr>
      </w:pPr>
    </w:p>
    <w:p w14:paraId="027D8791" w14:textId="77777777" w:rsidR="00914C94" w:rsidRDefault="00914C94" w:rsidP="004A15C9">
      <w:pPr>
        <w:numPr>
          <w:ilvl w:val="0"/>
          <w:numId w:val="15"/>
        </w:numPr>
        <w:spacing w:before="0" w:after="0" w:line="259" w:lineRule="auto"/>
        <w:rPr>
          <w:rFonts w:cs="Arial"/>
          <w:b/>
          <w:bCs/>
        </w:rPr>
      </w:pPr>
      <w:r>
        <w:rPr>
          <w:rFonts w:cs="Arial"/>
          <w:b/>
          <w:bCs/>
        </w:rPr>
        <w:br w:type="page"/>
      </w:r>
      <w:r w:rsidRPr="00914C94">
        <w:rPr>
          <w:rFonts w:cs="Arial"/>
          <w:b/>
          <w:bCs/>
        </w:rPr>
        <w:lastRenderedPageBreak/>
        <w:t xml:space="preserve">Category 3 - levetiracetam, lacosamide, tiagabine, gabapentin, pregabalin, ethosuximide, vigabatrin  </w:t>
      </w:r>
    </w:p>
    <w:p w14:paraId="24C67E40" w14:textId="77777777" w:rsidR="00914C94" w:rsidRPr="00914C94" w:rsidRDefault="00914C94" w:rsidP="004A15C9">
      <w:pPr>
        <w:numPr>
          <w:ilvl w:val="1"/>
          <w:numId w:val="15"/>
        </w:numPr>
        <w:spacing w:before="0" w:after="0" w:line="259" w:lineRule="auto"/>
        <w:rPr>
          <w:rFonts w:cs="Arial"/>
          <w:b/>
          <w:bCs/>
        </w:rPr>
      </w:pPr>
      <w:r w:rsidRPr="00914C94">
        <w:rPr>
          <w:rFonts w:cs="Arial"/>
          <w:bCs/>
        </w:rPr>
        <w:t>For these drugs, it is usually unnecessary to ensure that patients are maintained on a specific manufacturer’s product unless there are specific reasons such as patient anxiety and risk of confusion or dosing errors.</w:t>
      </w:r>
    </w:p>
    <w:p w14:paraId="6DE6160C" w14:textId="77777777" w:rsidR="00AC7BB7" w:rsidRPr="00812E91" w:rsidRDefault="00AC7BB7" w:rsidP="00AC7BB7">
      <w:pPr>
        <w:spacing w:before="0" w:after="0" w:line="259" w:lineRule="auto"/>
        <w:rPr>
          <w:rFonts w:cs="Arial"/>
        </w:rPr>
      </w:pPr>
    </w:p>
    <w:p w14:paraId="2EE8AF10" w14:textId="77777777" w:rsidR="00914C94" w:rsidRPr="00DF672D" w:rsidRDefault="00914C94" w:rsidP="00927B7A">
      <w:pPr>
        <w:spacing w:before="0" w:after="0" w:line="259" w:lineRule="auto"/>
        <w:rPr>
          <w:rFonts w:cs="Arial"/>
          <w:b/>
          <w:bCs/>
          <w:color w:val="2F5496"/>
        </w:rPr>
      </w:pPr>
      <w:r w:rsidRPr="00DF672D">
        <w:rPr>
          <w:rFonts w:cs="Arial"/>
          <w:b/>
          <w:bCs/>
          <w:color w:val="2F5496"/>
        </w:rPr>
        <w:t>Table 1: Medicines that should be prescribed by brand</w:t>
      </w:r>
    </w:p>
    <w:p w14:paraId="2F90D773" w14:textId="77777777" w:rsidR="007B43B9" w:rsidRPr="00F668A7" w:rsidRDefault="007B43B9" w:rsidP="007B43B9">
      <w:pPr>
        <w:autoSpaceDE w:val="0"/>
        <w:autoSpaceDN w:val="0"/>
        <w:adjustRightInd w:val="0"/>
        <w:spacing w:after="0" w:line="360" w:lineRule="auto"/>
        <w:rPr>
          <w:rFonts w:ascii="Calibri" w:hAnsi="Calibri" w:cs="Calibri"/>
          <w:bCs/>
        </w:rPr>
      </w:pPr>
      <w:r>
        <w:rPr>
          <w:rFonts w:cs="Arial"/>
          <w:bCs/>
        </w:rPr>
        <w:t xml:space="preserve">For a fully comprehensive list please refer to the Specialist Pharmacy Services (SPS) resource </w:t>
      </w:r>
      <w:hyperlink r:id="rId41" w:history="1">
        <w:r w:rsidRPr="007B43B9">
          <w:rPr>
            <w:rStyle w:val="Hyperlink"/>
            <w:rFonts w:cs="Arial"/>
            <w:bCs/>
            <w:i/>
          </w:rPr>
          <w:t>Which medicines should be considered for brand name prescribing in primary care?</w:t>
        </w:r>
      </w:hyperlink>
      <w:r w:rsidR="000524ED">
        <w:rPr>
          <w:rFonts w:cs="Arial"/>
          <w:bCs/>
          <w:i/>
          <w:vertAlign w:val="superscript"/>
        </w:rPr>
        <w:t>17</w:t>
      </w:r>
      <w:r w:rsidRPr="00F668A7">
        <w:rPr>
          <w:rFonts w:ascii="Calibri" w:hAnsi="Calibri" w:cs="Calibri"/>
          <w:bCs/>
        </w:rPr>
        <w:t xml:space="preserve"> </w:t>
      </w:r>
    </w:p>
    <w:tbl>
      <w:tblPr>
        <w:tblW w:w="11057"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4A0" w:firstRow="1" w:lastRow="0" w:firstColumn="1" w:lastColumn="0" w:noHBand="0" w:noVBand="1"/>
      </w:tblPr>
      <w:tblGrid>
        <w:gridCol w:w="2243"/>
        <w:gridCol w:w="1701"/>
        <w:gridCol w:w="3544"/>
        <w:gridCol w:w="3569"/>
      </w:tblGrid>
      <w:tr w:rsidR="00DF672D" w:rsidRPr="00DF672D" w14:paraId="6F34579F" w14:textId="77777777" w:rsidTr="00DF672D">
        <w:tc>
          <w:tcPr>
            <w:tcW w:w="2243" w:type="dxa"/>
            <w:tcBorders>
              <w:top w:val="single" w:sz="6" w:space="0" w:color="auto"/>
              <w:left w:val="single" w:sz="6" w:space="0" w:color="auto"/>
              <w:bottom w:val="single" w:sz="6" w:space="0" w:color="auto"/>
              <w:right w:val="single" w:sz="6" w:space="0" w:color="auto"/>
              <w:tl2br w:val="nil"/>
              <w:tr2bl w:val="nil"/>
            </w:tcBorders>
            <w:shd w:val="clear" w:color="auto" w:fill="2A5CAA"/>
          </w:tcPr>
          <w:p w14:paraId="62A61A10" w14:textId="77777777" w:rsidR="00914C94" w:rsidRPr="00DF672D" w:rsidRDefault="00914C94" w:rsidP="00DF672D">
            <w:pPr>
              <w:spacing w:before="0" w:after="0" w:line="360" w:lineRule="auto"/>
              <w:jc w:val="left"/>
              <w:rPr>
                <w:rFonts w:cs="Arial"/>
                <w:b/>
                <w:bCs/>
                <w:color w:val="FFFFFF"/>
                <w:kern w:val="24"/>
              </w:rPr>
            </w:pPr>
            <w:r w:rsidRPr="00DF672D">
              <w:rPr>
                <w:rFonts w:cs="Arial"/>
                <w:b/>
                <w:bCs/>
                <w:color w:val="FFFFFF"/>
                <w:kern w:val="24"/>
              </w:rPr>
              <w:t>Medicine category</w:t>
            </w:r>
          </w:p>
        </w:tc>
        <w:tc>
          <w:tcPr>
            <w:tcW w:w="1701" w:type="dxa"/>
            <w:tcBorders>
              <w:top w:val="single" w:sz="6" w:space="0" w:color="auto"/>
              <w:left w:val="single" w:sz="6" w:space="0" w:color="auto"/>
              <w:bottom w:val="single" w:sz="6" w:space="0" w:color="auto"/>
              <w:right w:val="single" w:sz="6" w:space="0" w:color="auto"/>
              <w:tl2br w:val="nil"/>
              <w:tr2bl w:val="nil"/>
            </w:tcBorders>
            <w:shd w:val="clear" w:color="auto" w:fill="2A5CAA"/>
          </w:tcPr>
          <w:p w14:paraId="1942B600" w14:textId="77777777" w:rsidR="00914C94" w:rsidRPr="00DF672D" w:rsidRDefault="00407AF6" w:rsidP="00DF672D">
            <w:pPr>
              <w:spacing w:before="0" w:after="0" w:line="360" w:lineRule="auto"/>
              <w:jc w:val="left"/>
              <w:rPr>
                <w:rFonts w:cs="Arial"/>
                <w:b/>
                <w:bCs/>
                <w:color w:val="FFFFFF"/>
                <w:kern w:val="24"/>
              </w:rPr>
            </w:pPr>
            <w:r w:rsidRPr="00DF672D">
              <w:rPr>
                <w:rFonts w:cs="Arial"/>
                <w:b/>
                <w:bCs/>
                <w:color w:val="FFFFFF"/>
                <w:kern w:val="24"/>
              </w:rPr>
              <w:t>Generic Name</w:t>
            </w:r>
          </w:p>
        </w:tc>
        <w:tc>
          <w:tcPr>
            <w:tcW w:w="3544" w:type="dxa"/>
            <w:tcBorders>
              <w:top w:val="single" w:sz="6" w:space="0" w:color="auto"/>
              <w:left w:val="single" w:sz="6" w:space="0" w:color="auto"/>
              <w:bottom w:val="single" w:sz="6" w:space="0" w:color="auto"/>
              <w:right w:val="single" w:sz="6" w:space="0" w:color="auto"/>
              <w:tl2br w:val="nil"/>
              <w:tr2bl w:val="nil"/>
            </w:tcBorders>
            <w:shd w:val="clear" w:color="auto" w:fill="2A5CAA"/>
          </w:tcPr>
          <w:p w14:paraId="2F4CDDD7" w14:textId="77777777" w:rsidR="00914C94" w:rsidRPr="00DF672D" w:rsidRDefault="00914C94" w:rsidP="00DF672D">
            <w:pPr>
              <w:spacing w:before="0" w:after="0" w:line="360" w:lineRule="auto"/>
              <w:jc w:val="left"/>
              <w:rPr>
                <w:rFonts w:cs="Arial"/>
                <w:b/>
                <w:bCs/>
                <w:color w:val="FFFFFF"/>
                <w:kern w:val="24"/>
              </w:rPr>
            </w:pPr>
            <w:r w:rsidRPr="00DF672D">
              <w:rPr>
                <w:rFonts w:cs="Arial"/>
                <w:b/>
                <w:bCs/>
                <w:color w:val="FFFFFF"/>
                <w:kern w:val="24"/>
              </w:rPr>
              <w:t>Examples</w:t>
            </w:r>
          </w:p>
        </w:tc>
        <w:tc>
          <w:tcPr>
            <w:tcW w:w="3569" w:type="dxa"/>
            <w:tcBorders>
              <w:top w:val="single" w:sz="6" w:space="0" w:color="auto"/>
              <w:left w:val="single" w:sz="6" w:space="0" w:color="auto"/>
              <w:bottom w:val="single" w:sz="6" w:space="0" w:color="auto"/>
              <w:right w:val="single" w:sz="6" w:space="0" w:color="auto"/>
              <w:tl2br w:val="nil"/>
              <w:tr2bl w:val="nil"/>
            </w:tcBorders>
            <w:shd w:val="clear" w:color="auto" w:fill="2A5CAA"/>
          </w:tcPr>
          <w:p w14:paraId="32E751A8" w14:textId="77777777" w:rsidR="00914C94" w:rsidRPr="00DF672D" w:rsidRDefault="00914C94" w:rsidP="00DF672D">
            <w:pPr>
              <w:spacing w:before="0" w:after="0" w:line="360" w:lineRule="auto"/>
              <w:jc w:val="left"/>
              <w:rPr>
                <w:rFonts w:cs="Arial"/>
                <w:b/>
                <w:bCs/>
                <w:color w:val="FFFFFF"/>
                <w:kern w:val="24"/>
              </w:rPr>
            </w:pPr>
            <w:r w:rsidRPr="00DF672D">
              <w:rPr>
                <w:rFonts w:cs="Arial"/>
                <w:b/>
                <w:bCs/>
                <w:color w:val="FFFFFF"/>
                <w:kern w:val="24"/>
              </w:rPr>
              <w:t>Comments</w:t>
            </w:r>
          </w:p>
        </w:tc>
      </w:tr>
      <w:tr w:rsidR="00DF672D" w:rsidRPr="00DF672D" w14:paraId="1B48C6EE" w14:textId="77777777" w:rsidTr="00DF672D">
        <w:trPr>
          <w:trHeight w:val="380"/>
        </w:trPr>
        <w:tc>
          <w:tcPr>
            <w:tcW w:w="2243" w:type="dxa"/>
            <w:vMerge w:val="restart"/>
            <w:shd w:val="clear" w:color="auto" w:fill="auto"/>
          </w:tcPr>
          <w:p w14:paraId="46125470" w14:textId="77777777" w:rsidR="00407AF6" w:rsidRPr="00DF672D" w:rsidRDefault="00407AF6" w:rsidP="00DF672D">
            <w:pPr>
              <w:spacing w:before="0" w:after="0" w:line="360" w:lineRule="auto"/>
              <w:jc w:val="left"/>
              <w:rPr>
                <w:rFonts w:cs="Arial"/>
                <w:b/>
                <w:bCs/>
                <w:kern w:val="24"/>
              </w:rPr>
            </w:pPr>
            <w:r w:rsidRPr="00DF672D">
              <w:rPr>
                <w:rFonts w:cs="Arial"/>
                <w:b/>
                <w:bCs/>
                <w:kern w:val="24"/>
              </w:rPr>
              <w:t>Drugs with narrow therapeutic index</w:t>
            </w:r>
          </w:p>
        </w:tc>
        <w:tc>
          <w:tcPr>
            <w:tcW w:w="1701" w:type="dxa"/>
            <w:shd w:val="clear" w:color="auto" w:fill="auto"/>
          </w:tcPr>
          <w:p w14:paraId="483E3942" w14:textId="77777777" w:rsidR="00407AF6" w:rsidRPr="00DF672D" w:rsidRDefault="00407AF6" w:rsidP="00DF672D">
            <w:pPr>
              <w:spacing w:before="0" w:after="0" w:line="360" w:lineRule="auto"/>
              <w:rPr>
                <w:rFonts w:cs="Arial"/>
                <w:bCs/>
                <w:kern w:val="24"/>
              </w:rPr>
            </w:pPr>
            <w:r w:rsidRPr="00DF672D">
              <w:rPr>
                <w:rFonts w:cs="Arial"/>
                <w:bCs/>
                <w:kern w:val="24"/>
              </w:rPr>
              <w:t>Aminophylline</w:t>
            </w:r>
          </w:p>
        </w:tc>
        <w:tc>
          <w:tcPr>
            <w:tcW w:w="3544" w:type="dxa"/>
            <w:shd w:val="clear" w:color="auto" w:fill="auto"/>
          </w:tcPr>
          <w:p w14:paraId="16277A63" w14:textId="77777777" w:rsidR="00407AF6" w:rsidRPr="00DF672D" w:rsidRDefault="00407AF6" w:rsidP="00DF672D">
            <w:pPr>
              <w:spacing w:before="0" w:after="0" w:line="360" w:lineRule="auto"/>
              <w:rPr>
                <w:rFonts w:cs="Arial"/>
                <w:bCs/>
                <w:kern w:val="24"/>
              </w:rPr>
            </w:pPr>
            <w:r w:rsidRPr="00DF672D">
              <w:rPr>
                <w:rFonts w:cs="Arial"/>
                <w:bCs/>
                <w:kern w:val="24"/>
              </w:rPr>
              <w:t xml:space="preserve">Phyllcontin </w:t>
            </w:r>
            <w:r w:rsidR="004973FD" w:rsidRPr="00DF672D">
              <w:rPr>
                <w:rFonts w:cs="Arial"/>
                <w:bCs/>
                <w:kern w:val="24"/>
              </w:rPr>
              <w:t>Continue</w:t>
            </w:r>
            <w:r w:rsidRPr="00DF672D">
              <w:rPr>
                <w:rFonts w:cs="Arial"/>
                <w:bCs/>
                <w:kern w:val="24"/>
              </w:rPr>
              <w:t>®</w:t>
            </w:r>
          </w:p>
        </w:tc>
        <w:tc>
          <w:tcPr>
            <w:tcW w:w="3569" w:type="dxa"/>
            <w:vMerge w:val="restart"/>
            <w:shd w:val="clear" w:color="auto" w:fill="auto"/>
          </w:tcPr>
          <w:p w14:paraId="038EE08A" w14:textId="77777777" w:rsidR="00407AF6" w:rsidRPr="00DF672D" w:rsidRDefault="00407AF6" w:rsidP="00DF672D">
            <w:pPr>
              <w:spacing w:before="0" w:after="0" w:line="360" w:lineRule="auto"/>
              <w:rPr>
                <w:rFonts w:cs="Arial"/>
                <w:bCs/>
                <w:kern w:val="24"/>
              </w:rPr>
            </w:pPr>
            <w:r w:rsidRPr="00DF672D">
              <w:rPr>
                <w:rFonts w:cs="Arial"/>
                <w:bCs/>
                <w:kern w:val="24"/>
              </w:rPr>
              <w:t xml:space="preserve">There may be differences in the bioavailability of the preparations and/or differences between the therapeutic and toxic plasma concentrations. </w:t>
            </w:r>
            <w:r w:rsidR="004973FD" w:rsidRPr="00DF672D">
              <w:rPr>
                <w:rFonts w:cs="Arial"/>
                <w:bCs/>
                <w:kern w:val="24"/>
              </w:rPr>
              <w:t>Therefore,</w:t>
            </w:r>
            <w:r w:rsidRPr="00DF672D">
              <w:rPr>
                <w:rFonts w:cs="Arial"/>
                <w:bCs/>
                <w:kern w:val="24"/>
              </w:rPr>
              <w:t xml:space="preserve"> the brand name should be prescribed.</w:t>
            </w:r>
          </w:p>
        </w:tc>
      </w:tr>
      <w:tr w:rsidR="00DF672D" w:rsidRPr="00DF672D" w14:paraId="564A50C8" w14:textId="77777777" w:rsidTr="00DF672D">
        <w:trPr>
          <w:trHeight w:val="380"/>
        </w:trPr>
        <w:tc>
          <w:tcPr>
            <w:tcW w:w="2243" w:type="dxa"/>
            <w:vMerge/>
            <w:shd w:val="clear" w:color="auto" w:fill="auto"/>
          </w:tcPr>
          <w:p w14:paraId="52046629" w14:textId="77777777" w:rsidR="00407AF6" w:rsidRPr="00DF672D" w:rsidRDefault="00407AF6" w:rsidP="00DF672D">
            <w:pPr>
              <w:spacing w:before="0" w:after="0" w:line="360" w:lineRule="auto"/>
              <w:jc w:val="left"/>
              <w:rPr>
                <w:rFonts w:cs="Arial"/>
                <w:b/>
                <w:bCs/>
                <w:kern w:val="24"/>
              </w:rPr>
            </w:pPr>
          </w:p>
        </w:tc>
        <w:tc>
          <w:tcPr>
            <w:tcW w:w="1701" w:type="dxa"/>
            <w:shd w:val="clear" w:color="auto" w:fill="auto"/>
          </w:tcPr>
          <w:p w14:paraId="0DD01A99" w14:textId="77777777" w:rsidR="00407AF6" w:rsidRPr="00DF672D" w:rsidRDefault="00407AF6" w:rsidP="00DF672D">
            <w:pPr>
              <w:spacing w:before="0" w:after="0" w:line="360" w:lineRule="auto"/>
              <w:rPr>
                <w:rFonts w:cs="Arial"/>
                <w:bCs/>
                <w:kern w:val="24"/>
              </w:rPr>
            </w:pPr>
            <w:r w:rsidRPr="00DF672D">
              <w:rPr>
                <w:rFonts w:cs="Arial"/>
                <w:bCs/>
                <w:kern w:val="24"/>
              </w:rPr>
              <w:t>Ciclosporin</w:t>
            </w:r>
          </w:p>
        </w:tc>
        <w:tc>
          <w:tcPr>
            <w:tcW w:w="3544" w:type="dxa"/>
            <w:shd w:val="clear" w:color="auto" w:fill="auto"/>
          </w:tcPr>
          <w:p w14:paraId="0399220C" w14:textId="77777777" w:rsidR="00407AF6" w:rsidRPr="00DF672D" w:rsidRDefault="00407AF6" w:rsidP="00DF672D">
            <w:pPr>
              <w:spacing w:before="0" w:after="0" w:line="360" w:lineRule="auto"/>
              <w:rPr>
                <w:rFonts w:cs="Arial"/>
                <w:bCs/>
                <w:kern w:val="24"/>
              </w:rPr>
            </w:pPr>
            <w:r w:rsidRPr="00DF672D">
              <w:rPr>
                <w:rFonts w:cs="Arial"/>
                <w:bCs/>
                <w:kern w:val="24"/>
              </w:rPr>
              <w:t>Neoral® Sandimmun®</w:t>
            </w:r>
          </w:p>
        </w:tc>
        <w:tc>
          <w:tcPr>
            <w:tcW w:w="3569" w:type="dxa"/>
            <w:vMerge/>
            <w:shd w:val="clear" w:color="auto" w:fill="auto"/>
          </w:tcPr>
          <w:p w14:paraId="24BBDE42" w14:textId="77777777" w:rsidR="00407AF6" w:rsidRPr="00DF672D" w:rsidRDefault="00407AF6" w:rsidP="00DF672D">
            <w:pPr>
              <w:spacing w:before="0" w:after="0" w:line="360" w:lineRule="auto"/>
              <w:rPr>
                <w:rFonts w:cs="Arial"/>
                <w:bCs/>
                <w:kern w:val="24"/>
              </w:rPr>
            </w:pPr>
          </w:p>
        </w:tc>
      </w:tr>
      <w:tr w:rsidR="00DF672D" w:rsidRPr="00DF672D" w14:paraId="6365E14C" w14:textId="77777777" w:rsidTr="00DF672D">
        <w:tc>
          <w:tcPr>
            <w:tcW w:w="2243" w:type="dxa"/>
            <w:shd w:val="clear" w:color="auto" w:fill="auto"/>
          </w:tcPr>
          <w:p w14:paraId="7C09FB71" w14:textId="77777777" w:rsidR="00407AF6" w:rsidRPr="00DF672D" w:rsidRDefault="00407AF6" w:rsidP="00DF672D">
            <w:pPr>
              <w:spacing w:before="0" w:after="0" w:line="360" w:lineRule="auto"/>
              <w:rPr>
                <w:rFonts w:cs="Arial"/>
                <w:bCs/>
                <w:kern w:val="24"/>
              </w:rPr>
            </w:pPr>
          </w:p>
        </w:tc>
        <w:tc>
          <w:tcPr>
            <w:tcW w:w="1701" w:type="dxa"/>
            <w:shd w:val="clear" w:color="auto" w:fill="auto"/>
          </w:tcPr>
          <w:p w14:paraId="260028BF" w14:textId="77777777" w:rsidR="00407AF6" w:rsidRPr="00DF672D" w:rsidRDefault="00407AF6" w:rsidP="00DF672D">
            <w:pPr>
              <w:spacing w:before="0" w:after="0" w:line="360" w:lineRule="auto"/>
              <w:rPr>
                <w:rFonts w:cs="Arial"/>
                <w:bCs/>
                <w:kern w:val="24"/>
              </w:rPr>
            </w:pPr>
            <w:r w:rsidRPr="00DF672D">
              <w:rPr>
                <w:rFonts w:cs="Arial"/>
                <w:bCs/>
                <w:kern w:val="24"/>
              </w:rPr>
              <w:t>Lithium</w:t>
            </w:r>
          </w:p>
        </w:tc>
        <w:tc>
          <w:tcPr>
            <w:tcW w:w="3544" w:type="dxa"/>
            <w:shd w:val="clear" w:color="auto" w:fill="auto"/>
          </w:tcPr>
          <w:p w14:paraId="6F27E340" w14:textId="77777777" w:rsidR="00407AF6" w:rsidRPr="00DF672D" w:rsidRDefault="00407AF6" w:rsidP="00DF672D">
            <w:pPr>
              <w:spacing w:before="0" w:after="0" w:line="360" w:lineRule="auto"/>
              <w:rPr>
                <w:rFonts w:cs="Arial"/>
                <w:bCs/>
                <w:kern w:val="24"/>
              </w:rPr>
            </w:pPr>
            <w:r w:rsidRPr="00DF672D">
              <w:rPr>
                <w:rFonts w:cs="Arial"/>
                <w:bCs/>
                <w:kern w:val="24"/>
              </w:rPr>
              <w:t>Priadel®, Camcolit® Liskonum®</w:t>
            </w:r>
          </w:p>
        </w:tc>
        <w:tc>
          <w:tcPr>
            <w:tcW w:w="3569" w:type="dxa"/>
            <w:vMerge/>
            <w:shd w:val="clear" w:color="auto" w:fill="auto"/>
          </w:tcPr>
          <w:p w14:paraId="68461378" w14:textId="77777777" w:rsidR="00407AF6" w:rsidRPr="00DF672D" w:rsidRDefault="00407AF6" w:rsidP="00DF672D">
            <w:pPr>
              <w:spacing w:before="0" w:after="0" w:line="360" w:lineRule="auto"/>
              <w:rPr>
                <w:rFonts w:cs="Arial"/>
                <w:bCs/>
                <w:kern w:val="24"/>
              </w:rPr>
            </w:pPr>
          </w:p>
        </w:tc>
      </w:tr>
      <w:tr w:rsidR="00DF672D" w:rsidRPr="00DF672D" w14:paraId="7FE781BB" w14:textId="77777777" w:rsidTr="00DF672D">
        <w:tc>
          <w:tcPr>
            <w:tcW w:w="2243" w:type="dxa"/>
            <w:shd w:val="clear" w:color="auto" w:fill="auto"/>
          </w:tcPr>
          <w:p w14:paraId="5681005E" w14:textId="77777777" w:rsidR="00407AF6" w:rsidRPr="00DF672D" w:rsidRDefault="00407AF6" w:rsidP="00DF672D">
            <w:pPr>
              <w:spacing w:before="0" w:after="0" w:line="360" w:lineRule="auto"/>
              <w:rPr>
                <w:rFonts w:cs="Arial"/>
                <w:bCs/>
                <w:kern w:val="24"/>
              </w:rPr>
            </w:pPr>
          </w:p>
        </w:tc>
        <w:tc>
          <w:tcPr>
            <w:tcW w:w="1701" w:type="dxa"/>
            <w:shd w:val="clear" w:color="auto" w:fill="auto"/>
          </w:tcPr>
          <w:p w14:paraId="2DF7F53C" w14:textId="77777777" w:rsidR="00407AF6" w:rsidRPr="00DF672D" w:rsidRDefault="00407AF6" w:rsidP="00DF672D">
            <w:pPr>
              <w:spacing w:before="0" w:after="0" w:line="360" w:lineRule="auto"/>
              <w:rPr>
                <w:rFonts w:cs="Arial"/>
                <w:bCs/>
                <w:kern w:val="24"/>
              </w:rPr>
            </w:pPr>
            <w:r w:rsidRPr="00DF672D">
              <w:rPr>
                <w:rFonts w:cs="Arial"/>
                <w:bCs/>
                <w:kern w:val="24"/>
              </w:rPr>
              <w:t>Phenytoin</w:t>
            </w:r>
          </w:p>
        </w:tc>
        <w:tc>
          <w:tcPr>
            <w:tcW w:w="3544" w:type="dxa"/>
            <w:shd w:val="clear" w:color="auto" w:fill="auto"/>
          </w:tcPr>
          <w:p w14:paraId="1C87C588" w14:textId="77777777" w:rsidR="00407AF6" w:rsidRPr="00DF672D" w:rsidRDefault="00407AF6" w:rsidP="00DF672D">
            <w:pPr>
              <w:spacing w:before="0" w:after="0" w:line="360" w:lineRule="auto"/>
              <w:rPr>
                <w:rFonts w:cs="Arial"/>
                <w:bCs/>
                <w:kern w:val="24"/>
              </w:rPr>
            </w:pPr>
          </w:p>
        </w:tc>
        <w:tc>
          <w:tcPr>
            <w:tcW w:w="3569" w:type="dxa"/>
            <w:vMerge/>
            <w:shd w:val="clear" w:color="auto" w:fill="auto"/>
          </w:tcPr>
          <w:p w14:paraId="1FB1B7DE" w14:textId="77777777" w:rsidR="00407AF6" w:rsidRPr="00DF672D" w:rsidRDefault="00407AF6" w:rsidP="00DF672D">
            <w:pPr>
              <w:spacing w:before="0" w:after="0" w:line="360" w:lineRule="auto"/>
              <w:rPr>
                <w:rFonts w:cs="Arial"/>
                <w:bCs/>
                <w:kern w:val="24"/>
              </w:rPr>
            </w:pPr>
          </w:p>
        </w:tc>
      </w:tr>
      <w:tr w:rsidR="00DF672D" w:rsidRPr="00DF672D" w14:paraId="3664BA7B" w14:textId="77777777" w:rsidTr="00DF672D">
        <w:tc>
          <w:tcPr>
            <w:tcW w:w="2243" w:type="dxa"/>
            <w:shd w:val="clear" w:color="auto" w:fill="auto"/>
          </w:tcPr>
          <w:p w14:paraId="6F68EB13" w14:textId="77777777" w:rsidR="00407AF6" w:rsidRPr="00DF672D" w:rsidRDefault="00407AF6" w:rsidP="00DF672D">
            <w:pPr>
              <w:spacing w:before="0" w:after="0" w:line="360" w:lineRule="auto"/>
              <w:rPr>
                <w:rFonts w:cs="Arial"/>
                <w:bCs/>
                <w:kern w:val="24"/>
              </w:rPr>
            </w:pPr>
          </w:p>
        </w:tc>
        <w:tc>
          <w:tcPr>
            <w:tcW w:w="1701" w:type="dxa"/>
            <w:shd w:val="clear" w:color="auto" w:fill="auto"/>
          </w:tcPr>
          <w:p w14:paraId="270F39C1" w14:textId="77777777" w:rsidR="00407AF6" w:rsidRPr="00DF672D" w:rsidRDefault="00407AF6" w:rsidP="00DF672D">
            <w:pPr>
              <w:spacing w:before="0" w:after="0" w:line="360" w:lineRule="auto"/>
              <w:rPr>
                <w:rFonts w:cs="Arial"/>
                <w:bCs/>
                <w:kern w:val="24"/>
              </w:rPr>
            </w:pPr>
            <w:r w:rsidRPr="00DF672D">
              <w:rPr>
                <w:rFonts w:cs="Arial"/>
                <w:bCs/>
                <w:kern w:val="24"/>
              </w:rPr>
              <w:t>Theophylline</w:t>
            </w:r>
          </w:p>
        </w:tc>
        <w:tc>
          <w:tcPr>
            <w:tcW w:w="3544" w:type="dxa"/>
            <w:shd w:val="clear" w:color="auto" w:fill="auto"/>
          </w:tcPr>
          <w:p w14:paraId="0E2772B7" w14:textId="77777777" w:rsidR="00407AF6" w:rsidRPr="00DF672D" w:rsidRDefault="00407AF6" w:rsidP="00DF672D">
            <w:pPr>
              <w:spacing w:before="0" w:after="0" w:line="360" w:lineRule="auto"/>
              <w:jc w:val="left"/>
              <w:rPr>
                <w:rFonts w:cs="Arial"/>
                <w:bCs/>
                <w:kern w:val="24"/>
              </w:rPr>
            </w:pPr>
            <w:r w:rsidRPr="00DF672D">
              <w:rPr>
                <w:rFonts w:cs="Arial"/>
                <w:bCs/>
                <w:kern w:val="24"/>
              </w:rPr>
              <w:t>Nuelin SA ®, Slo-Phyllin® Uniphyllin Continus®</w:t>
            </w:r>
          </w:p>
        </w:tc>
        <w:tc>
          <w:tcPr>
            <w:tcW w:w="3569" w:type="dxa"/>
            <w:vMerge/>
            <w:shd w:val="clear" w:color="auto" w:fill="auto"/>
          </w:tcPr>
          <w:p w14:paraId="1A68828A" w14:textId="77777777" w:rsidR="00407AF6" w:rsidRPr="00DF672D" w:rsidRDefault="00407AF6" w:rsidP="00DF672D">
            <w:pPr>
              <w:spacing w:before="0" w:after="0" w:line="360" w:lineRule="auto"/>
              <w:rPr>
                <w:rFonts w:cs="Arial"/>
                <w:bCs/>
                <w:kern w:val="24"/>
              </w:rPr>
            </w:pPr>
          </w:p>
        </w:tc>
      </w:tr>
      <w:tr w:rsidR="00DF672D" w:rsidRPr="00DF672D" w14:paraId="7F6241E0" w14:textId="77777777" w:rsidTr="00DF672D">
        <w:tc>
          <w:tcPr>
            <w:tcW w:w="2243" w:type="dxa"/>
            <w:shd w:val="clear" w:color="auto" w:fill="2A5CAA"/>
          </w:tcPr>
          <w:p w14:paraId="5152CC10" w14:textId="77777777" w:rsidR="00914C94" w:rsidRPr="00DF672D" w:rsidRDefault="00914C94" w:rsidP="00DF672D">
            <w:pPr>
              <w:spacing w:before="0" w:after="0" w:line="360" w:lineRule="auto"/>
              <w:rPr>
                <w:rFonts w:cs="Arial"/>
                <w:b/>
                <w:bCs/>
                <w:kern w:val="24"/>
                <w:sz w:val="16"/>
                <w:szCs w:val="16"/>
              </w:rPr>
            </w:pPr>
          </w:p>
        </w:tc>
        <w:tc>
          <w:tcPr>
            <w:tcW w:w="1701" w:type="dxa"/>
            <w:shd w:val="clear" w:color="auto" w:fill="2A5CAA"/>
          </w:tcPr>
          <w:p w14:paraId="706B514F" w14:textId="77777777" w:rsidR="00914C94" w:rsidRPr="00DF672D" w:rsidRDefault="00914C94" w:rsidP="00DF672D">
            <w:pPr>
              <w:spacing w:before="0" w:after="0" w:line="360" w:lineRule="auto"/>
              <w:rPr>
                <w:rFonts w:cs="Arial"/>
                <w:bCs/>
                <w:kern w:val="24"/>
                <w:sz w:val="16"/>
                <w:szCs w:val="16"/>
              </w:rPr>
            </w:pPr>
          </w:p>
        </w:tc>
        <w:tc>
          <w:tcPr>
            <w:tcW w:w="3544" w:type="dxa"/>
            <w:shd w:val="clear" w:color="auto" w:fill="2A5CAA"/>
          </w:tcPr>
          <w:p w14:paraId="601B392F" w14:textId="77777777" w:rsidR="00914C94" w:rsidRPr="00DF672D" w:rsidRDefault="00914C94" w:rsidP="00DF672D">
            <w:pPr>
              <w:spacing w:before="0" w:after="0" w:line="360" w:lineRule="auto"/>
              <w:rPr>
                <w:rFonts w:cs="Arial"/>
                <w:bCs/>
                <w:kern w:val="24"/>
                <w:sz w:val="16"/>
                <w:szCs w:val="16"/>
              </w:rPr>
            </w:pPr>
          </w:p>
        </w:tc>
        <w:tc>
          <w:tcPr>
            <w:tcW w:w="3569" w:type="dxa"/>
            <w:shd w:val="clear" w:color="auto" w:fill="2A5CAA"/>
          </w:tcPr>
          <w:p w14:paraId="0F6DB916" w14:textId="77777777" w:rsidR="00914C94" w:rsidRPr="00DF672D" w:rsidRDefault="00914C94" w:rsidP="00DF672D">
            <w:pPr>
              <w:spacing w:before="0" w:after="0" w:line="360" w:lineRule="auto"/>
              <w:rPr>
                <w:rFonts w:cs="Arial"/>
                <w:bCs/>
                <w:kern w:val="24"/>
                <w:sz w:val="16"/>
                <w:szCs w:val="16"/>
              </w:rPr>
            </w:pPr>
          </w:p>
        </w:tc>
      </w:tr>
      <w:tr w:rsidR="00DF672D" w:rsidRPr="00DF672D" w14:paraId="1C750A51" w14:textId="77777777" w:rsidTr="00DF672D">
        <w:tc>
          <w:tcPr>
            <w:tcW w:w="2243" w:type="dxa"/>
            <w:shd w:val="clear" w:color="auto" w:fill="auto"/>
          </w:tcPr>
          <w:p w14:paraId="77863A1D" w14:textId="77777777" w:rsidR="00914C94" w:rsidRPr="00DF672D" w:rsidRDefault="00914C94" w:rsidP="00DF672D">
            <w:pPr>
              <w:spacing w:before="0" w:after="0" w:line="360" w:lineRule="auto"/>
              <w:jc w:val="left"/>
              <w:rPr>
                <w:rFonts w:cs="Arial"/>
                <w:b/>
                <w:bCs/>
                <w:kern w:val="24"/>
              </w:rPr>
            </w:pPr>
            <w:r w:rsidRPr="00DF672D">
              <w:rPr>
                <w:rFonts w:cs="Arial"/>
                <w:b/>
                <w:bCs/>
                <w:kern w:val="24"/>
              </w:rPr>
              <w:t>Certain modified release preparations</w:t>
            </w:r>
          </w:p>
        </w:tc>
        <w:tc>
          <w:tcPr>
            <w:tcW w:w="1701" w:type="dxa"/>
            <w:shd w:val="clear" w:color="auto" w:fill="auto"/>
          </w:tcPr>
          <w:p w14:paraId="73706198" w14:textId="77777777" w:rsidR="00914C94" w:rsidRPr="00DF672D" w:rsidRDefault="00914C94" w:rsidP="00DF672D">
            <w:pPr>
              <w:spacing w:before="0" w:after="0" w:line="360" w:lineRule="auto"/>
              <w:jc w:val="left"/>
              <w:rPr>
                <w:rFonts w:cs="Arial"/>
                <w:bCs/>
                <w:kern w:val="24"/>
              </w:rPr>
            </w:pPr>
            <w:r w:rsidRPr="00DF672D">
              <w:rPr>
                <w:rFonts w:cs="Arial"/>
                <w:bCs/>
                <w:kern w:val="24"/>
              </w:rPr>
              <w:t>Diltiazem®</w:t>
            </w:r>
          </w:p>
        </w:tc>
        <w:tc>
          <w:tcPr>
            <w:tcW w:w="3544" w:type="dxa"/>
            <w:shd w:val="clear" w:color="auto" w:fill="auto"/>
          </w:tcPr>
          <w:p w14:paraId="395CF62F" w14:textId="77777777" w:rsidR="00914C94" w:rsidRPr="00DF672D" w:rsidRDefault="00914C94" w:rsidP="00DF672D">
            <w:pPr>
              <w:spacing w:before="0" w:after="0" w:line="360" w:lineRule="auto"/>
              <w:jc w:val="left"/>
              <w:rPr>
                <w:rFonts w:cs="Arial"/>
                <w:bCs/>
                <w:kern w:val="24"/>
              </w:rPr>
            </w:pPr>
            <w:r w:rsidRPr="00DF672D">
              <w:rPr>
                <w:rFonts w:cs="Arial"/>
                <w:bCs/>
                <w:kern w:val="24"/>
              </w:rPr>
              <w:t>Slozem®,</w:t>
            </w:r>
            <w:r w:rsidR="004973FD">
              <w:rPr>
                <w:rFonts w:cs="Arial"/>
                <w:bCs/>
                <w:kern w:val="24"/>
              </w:rPr>
              <w:t xml:space="preserve"> </w:t>
            </w:r>
            <w:r w:rsidRPr="00DF672D">
              <w:rPr>
                <w:rFonts w:cs="Arial"/>
                <w:bCs/>
                <w:kern w:val="24"/>
              </w:rPr>
              <w:t>Adizem XL ®, Tildiem LA</w:t>
            </w:r>
          </w:p>
        </w:tc>
        <w:tc>
          <w:tcPr>
            <w:tcW w:w="3569" w:type="dxa"/>
            <w:vMerge w:val="restart"/>
            <w:shd w:val="clear" w:color="auto" w:fill="auto"/>
          </w:tcPr>
          <w:p w14:paraId="3E5D4D8E" w14:textId="77777777" w:rsidR="00914C94" w:rsidRPr="00DF672D" w:rsidRDefault="00914C94" w:rsidP="00DF672D">
            <w:pPr>
              <w:spacing w:before="0" w:after="0" w:line="360" w:lineRule="auto"/>
              <w:jc w:val="left"/>
              <w:rPr>
                <w:rFonts w:cs="Arial"/>
                <w:bCs/>
                <w:kern w:val="24"/>
              </w:rPr>
            </w:pPr>
            <w:r w:rsidRPr="00DF672D">
              <w:rPr>
                <w:rFonts w:cs="Arial"/>
                <w:bCs/>
                <w:kern w:val="24"/>
              </w:rPr>
              <w:t>The BNF states that the brand names should be specified as different versions of these modified release (m/r) preparations may not have the same clinical effect</w:t>
            </w:r>
          </w:p>
        </w:tc>
      </w:tr>
      <w:tr w:rsidR="00DF672D" w:rsidRPr="00DF672D" w14:paraId="0A614709" w14:textId="77777777" w:rsidTr="00DF672D">
        <w:tc>
          <w:tcPr>
            <w:tcW w:w="2243" w:type="dxa"/>
            <w:shd w:val="clear" w:color="auto" w:fill="auto"/>
          </w:tcPr>
          <w:p w14:paraId="51199513" w14:textId="77777777" w:rsidR="00914C94" w:rsidRPr="00DF672D" w:rsidRDefault="00914C94" w:rsidP="00DF672D">
            <w:pPr>
              <w:spacing w:before="0" w:after="0" w:line="360" w:lineRule="auto"/>
              <w:rPr>
                <w:rFonts w:cs="Arial"/>
                <w:bCs/>
                <w:kern w:val="24"/>
              </w:rPr>
            </w:pPr>
          </w:p>
        </w:tc>
        <w:tc>
          <w:tcPr>
            <w:tcW w:w="1701" w:type="dxa"/>
            <w:shd w:val="clear" w:color="auto" w:fill="auto"/>
          </w:tcPr>
          <w:p w14:paraId="5D78D6F6" w14:textId="77777777" w:rsidR="00914C94" w:rsidRPr="00DF672D" w:rsidRDefault="00914C94" w:rsidP="00DF672D">
            <w:pPr>
              <w:spacing w:before="0" w:after="0" w:line="360" w:lineRule="auto"/>
              <w:jc w:val="left"/>
              <w:rPr>
                <w:rFonts w:cs="Arial"/>
                <w:bCs/>
                <w:kern w:val="24"/>
              </w:rPr>
            </w:pPr>
            <w:r w:rsidRPr="00DF672D">
              <w:rPr>
                <w:rFonts w:cs="Arial"/>
                <w:bCs/>
                <w:kern w:val="24"/>
              </w:rPr>
              <w:t>Mesalazine®</w:t>
            </w:r>
          </w:p>
        </w:tc>
        <w:tc>
          <w:tcPr>
            <w:tcW w:w="3544" w:type="dxa"/>
            <w:shd w:val="clear" w:color="auto" w:fill="auto"/>
          </w:tcPr>
          <w:p w14:paraId="7FDB8C21" w14:textId="77777777" w:rsidR="00914C94" w:rsidRPr="00DF672D" w:rsidRDefault="00914C94" w:rsidP="00DF672D">
            <w:pPr>
              <w:spacing w:before="0" w:after="0" w:line="360" w:lineRule="auto"/>
              <w:jc w:val="left"/>
              <w:rPr>
                <w:rFonts w:cs="Arial"/>
                <w:bCs/>
                <w:kern w:val="24"/>
              </w:rPr>
            </w:pPr>
            <w:r w:rsidRPr="00DF672D">
              <w:rPr>
                <w:rFonts w:cs="Arial"/>
                <w:bCs/>
                <w:kern w:val="24"/>
              </w:rPr>
              <w:t>Asacol MR ®, Pentasa®</w:t>
            </w:r>
          </w:p>
        </w:tc>
        <w:tc>
          <w:tcPr>
            <w:tcW w:w="3569" w:type="dxa"/>
            <w:vMerge/>
            <w:shd w:val="clear" w:color="auto" w:fill="auto"/>
          </w:tcPr>
          <w:p w14:paraId="249BDC5B" w14:textId="77777777" w:rsidR="00914C94" w:rsidRPr="00DF672D" w:rsidRDefault="00914C94" w:rsidP="00DF672D">
            <w:pPr>
              <w:spacing w:before="0" w:after="0" w:line="360" w:lineRule="auto"/>
              <w:rPr>
                <w:rFonts w:cs="Arial"/>
                <w:bCs/>
                <w:kern w:val="24"/>
              </w:rPr>
            </w:pPr>
          </w:p>
        </w:tc>
      </w:tr>
      <w:tr w:rsidR="00DF672D" w:rsidRPr="00DF672D" w14:paraId="6058D839" w14:textId="77777777" w:rsidTr="00DF672D">
        <w:tc>
          <w:tcPr>
            <w:tcW w:w="2243" w:type="dxa"/>
            <w:shd w:val="clear" w:color="auto" w:fill="auto"/>
          </w:tcPr>
          <w:p w14:paraId="50EECBAE" w14:textId="77777777" w:rsidR="00914C94" w:rsidRPr="00DF672D" w:rsidRDefault="00914C94" w:rsidP="00DF672D">
            <w:pPr>
              <w:spacing w:before="0" w:after="0" w:line="360" w:lineRule="auto"/>
              <w:rPr>
                <w:rFonts w:cs="Arial"/>
                <w:bCs/>
                <w:kern w:val="24"/>
              </w:rPr>
            </w:pPr>
          </w:p>
        </w:tc>
        <w:tc>
          <w:tcPr>
            <w:tcW w:w="1701" w:type="dxa"/>
            <w:shd w:val="clear" w:color="auto" w:fill="auto"/>
          </w:tcPr>
          <w:p w14:paraId="7408C0E1" w14:textId="77777777" w:rsidR="00914C94" w:rsidRPr="00DF672D" w:rsidRDefault="00914C94" w:rsidP="00DF672D">
            <w:pPr>
              <w:spacing w:before="0" w:after="0" w:line="360" w:lineRule="auto"/>
              <w:jc w:val="left"/>
              <w:rPr>
                <w:rFonts w:cs="Arial"/>
                <w:bCs/>
                <w:kern w:val="24"/>
              </w:rPr>
            </w:pPr>
            <w:r w:rsidRPr="00DF672D">
              <w:rPr>
                <w:rFonts w:cs="Arial"/>
                <w:bCs/>
                <w:kern w:val="24"/>
              </w:rPr>
              <w:t>Nifedipine ®</w:t>
            </w:r>
          </w:p>
        </w:tc>
        <w:tc>
          <w:tcPr>
            <w:tcW w:w="3544" w:type="dxa"/>
            <w:shd w:val="clear" w:color="auto" w:fill="auto"/>
          </w:tcPr>
          <w:p w14:paraId="0EDC5C72" w14:textId="77777777" w:rsidR="00914C94" w:rsidRPr="00DF672D" w:rsidRDefault="00914C94" w:rsidP="00DF672D">
            <w:pPr>
              <w:spacing w:before="0" w:after="0" w:line="360" w:lineRule="auto"/>
              <w:jc w:val="left"/>
              <w:rPr>
                <w:rFonts w:cs="Arial"/>
                <w:bCs/>
                <w:kern w:val="24"/>
              </w:rPr>
            </w:pPr>
            <w:r w:rsidRPr="00DF672D">
              <w:rPr>
                <w:rFonts w:cs="Arial"/>
                <w:bCs/>
                <w:kern w:val="24"/>
              </w:rPr>
              <w:t>Coracten SR ® or XL, Adalat®, Adalat Retard®</w:t>
            </w:r>
          </w:p>
        </w:tc>
        <w:tc>
          <w:tcPr>
            <w:tcW w:w="3569" w:type="dxa"/>
            <w:vMerge/>
            <w:shd w:val="clear" w:color="auto" w:fill="auto"/>
          </w:tcPr>
          <w:p w14:paraId="36D339B0" w14:textId="77777777" w:rsidR="00914C94" w:rsidRPr="00DF672D" w:rsidRDefault="00914C94" w:rsidP="00DF672D">
            <w:pPr>
              <w:spacing w:before="0" w:after="0" w:line="360" w:lineRule="auto"/>
              <w:rPr>
                <w:rFonts w:cs="Arial"/>
                <w:bCs/>
                <w:kern w:val="24"/>
              </w:rPr>
            </w:pPr>
          </w:p>
        </w:tc>
      </w:tr>
      <w:tr w:rsidR="00DF672D" w:rsidRPr="00DF672D" w14:paraId="11107C8D" w14:textId="77777777" w:rsidTr="00DF672D">
        <w:tc>
          <w:tcPr>
            <w:tcW w:w="2243" w:type="dxa"/>
            <w:shd w:val="clear" w:color="auto" w:fill="2A5CAA"/>
          </w:tcPr>
          <w:p w14:paraId="4B6BE0E4" w14:textId="77777777" w:rsidR="00914C94" w:rsidRPr="00DF672D" w:rsidRDefault="00914C94" w:rsidP="00DF672D">
            <w:pPr>
              <w:spacing w:before="0" w:after="0" w:line="360" w:lineRule="auto"/>
              <w:rPr>
                <w:rFonts w:cs="Arial"/>
                <w:b/>
                <w:bCs/>
                <w:kern w:val="24"/>
                <w:sz w:val="16"/>
                <w:szCs w:val="16"/>
              </w:rPr>
            </w:pPr>
          </w:p>
        </w:tc>
        <w:tc>
          <w:tcPr>
            <w:tcW w:w="1701" w:type="dxa"/>
            <w:shd w:val="clear" w:color="auto" w:fill="2A5CAA"/>
          </w:tcPr>
          <w:p w14:paraId="049F7109" w14:textId="77777777" w:rsidR="00914C94" w:rsidRPr="00DF672D" w:rsidRDefault="00914C94" w:rsidP="00DF672D">
            <w:pPr>
              <w:spacing w:before="0" w:after="0" w:line="360" w:lineRule="auto"/>
              <w:rPr>
                <w:rFonts w:cs="Arial"/>
                <w:bCs/>
                <w:kern w:val="24"/>
                <w:sz w:val="16"/>
                <w:szCs w:val="16"/>
              </w:rPr>
            </w:pPr>
          </w:p>
        </w:tc>
        <w:tc>
          <w:tcPr>
            <w:tcW w:w="3544" w:type="dxa"/>
            <w:shd w:val="clear" w:color="auto" w:fill="2A5CAA"/>
          </w:tcPr>
          <w:p w14:paraId="73C01074" w14:textId="77777777" w:rsidR="00914C94" w:rsidRPr="00DF672D" w:rsidRDefault="00914C94" w:rsidP="00DF672D">
            <w:pPr>
              <w:spacing w:before="0" w:after="0" w:line="360" w:lineRule="auto"/>
              <w:rPr>
                <w:rFonts w:cs="Arial"/>
                <w:bCs/>
                <w:kern w:val="24"/>
                <w:sz w:val="16"/>
                <w:szCs w:val="16"/>
              </w:rPr>
            </w:pPr>
          </w:p>
        </w:tc>
        <w:tc>
          <w:tcPr>
            <w:tcW w:w="3569" w:type="dxa"/>
            <w:shd w:val="clear" w:color="auto" w:fill="2A5CAA"/>
          </w:tcPr>
          <w:p w14:paraId="2A441619" w14:textId="77777777" w:rsidR="00914C94" w:rsidRPr="00DF672D" w:rsidRDefault="00914C94" w:rsidP="00DF672D">
            <w:pPr>
              <w:spacing w:before="0" w:after="0" w:line="360" w:lineRule="auto"/>
              <w:rPr>
                <w:rFonts w:cs="Arial"/>
                <w:bCs/>
                <w:kern w:val="24"/>
                <w:sz w:val="16"/>
                <w:szCs w:val="16"/>
              </w:rPr>
            </w:pPr>
          </w:p>
        </w:tc>
      </w:tr>
      <w:tr w:rsidR="00DF672D" w:rsidRPr="00DF672D" w14:paraId="0D254EED" w14:textId="77777777" w:rsidTr="00DF672D">
        <w:tc>
          <w:tcPr>
            <w:tcW w:w="2243" w:type="dxa"/>
            <w:shd w:val="clear" w:color="auto" w:fill="auto"/>
          </w:tcPr>
          <w:p w14:paraId="4086DAEE" w14:textId="77777777" w:rsidR="00914C94" w:rsidRPr="00DF672D" w:rsidRDefault="00914C94" w:rsidP="00DF672D">
            <w:pPr>
              <w:spacing w:before="0" w:after="0" w:line="360" w:lineRule="auto"/>
              <w:jc w:val="left"/>
              <w:rPr>
                <w:rFonts w:cs="Arial"/>
                <w:b/>
                <w:bCs/>
                <w:kern w:val="24"/>
              </w:rPr>
            </w:pPr>
            <w:r w:rsidRPr="00DF672D">
              <w:rPr>
                <w:rFonts w:cs="Arial"/>
                <w:b/>
                <w:bCs/>
                <w:kern w:val="24"/>
              </w:rPr>
              <w:t>Controlled drugs including patches (schedule 2 and 3)</w:t>
            </w:r>
          </w:p>
        </w:tc>
        <w:tc>
          <w:tcPr>
            <w:tcW w:w="1701" w:type="dxa"/>
            <w:shd w:val="clear" w:color="auto" w:fill="auto"/>
          </w:tcPr>
          <w:p w14:paraId="1089AEA9" w14:textId="77777777" w:rsidR="00914C94" w:rsidRPr="00DF672D" w:rsidRDefault="00914C94" w:rsidP="00DF672D">
            <w:pPr>
              <w:spacing w:before="0" w:after="0" w:line="360" w:lineRule="auto"/>
              <w:rPr>
                <w:rFonts w:cs="Arial"/>
                <w:bCs/>
                <w:kern w:val="24"/>
              </w:rPr>
            </w:pPr>
            <w:r w:rsidRPr="00DF672D">
              <w:rPr>
                <w:rFonts w:cs="Arial"/>
                <w:bCs/>
                <w:kern w:val="24"/>
              </w:rPr>
              <w:t>Morphine</w:t>
            </w:r>
          </w:p>
        </w:tc>
        <w:tc>
          <w:tcPr>
            <w:tcW w:w="3544" w:type="dxa"/>
            <w:shd w:val="clear" w:color="auto" w:fill="auto"/>
          </w:tcPr>
          <w:p w14:paraId="0CFE46D7" w14:textId="77777777" w:rsidR="00927B7A" w:rsidRPr="00DF672D" w:rsidRDefault="00914C94" w:rsidP="00DF672D">
            <w:pPr>
              <w:spacing w:before="0" w:after="0" w:line="360" w:lineRule="auto"/>
              <w:jc w:val="left"/>
              <w:rPr>
                <w:rFonts w:cs="Arial"/>
                <w:bCs/>
                <w:kern w:val="24"/>
              </w:rPr>
            </w:pPr>
            <w:r w:rsidRPr="00DF672D">
              <w:rPr>
                <w:rFonts w:cs="Arial"/>
                <w:bCs/>
                <w:kern w:val="24"/>
              </w:rPr>
              <w:t xml:space="preserve">MST ®, Zomorph®, </w:t>
            </w:r>
          </w:p>
          <w:p w14:paraId="11F0577D" w14:textId="77777777" w:rsidR="00914C94" w:rsidRPr="00DF672D" w:rsidRDefault="00914C94" w:rsidP="00DF672D">
            <w:pPr>
              <w:spacing w:before="0" w:after="0" w:line="360" w:lineRule="auto"/>
              <w:jc w:val="left"/>
              <w:rPr>
                <w:rFonts w:cs="Arial"/>
                <w:bCs/>
                <w:kern w:val="24"/>
              </w:rPr>
            </w:pPr>
            <w:r w:rsidRPr="00DF672D">
              <w:rPr>
                <w:rFonts w:cs="Arial"/>
                <w:bCs/>
                <w:kern w:val="24"/>
              </w:rPr>
              <w:t>Morphgesic SR ®</w:t>
            </w:r>
          </w:p>
        </w:tc>
        <w:tc>
          <w:tcPr>
            <w:tcW w:w="3569" w:type="dxa"/>
            <w:vMerge w:val="restart"/>
            <w:shd w:val="clear" w:color="auto" w:fill="auto"/>
          </w:tcPr>
          <w:p w14:paraId="4C58FE6C" w14:textId="77777777" w:rsidR="00914C94" w:rsidRPr="00DF672D" w:rsidRDefault="00914C94" w:rsidP="00DF672D">
            <w:pPr>
              <w:spacing w:before="0" w:after="0" w:line="360" w:lineRule="auto"/>
              <w:jc w:val="left"/>
              <w:rPr>
                <w:rFonts w:cs="Arial"/>
                <w:bCs/>
                <w:kern w:val="24"/>
              </w:rPr>
            </w:pPr>
            <w:r w:rsidRPr="00DF672D">
              <w:rPr>
                <w:rFonts w:cs="Arial"/>
                <w:bCs/>
                <w:kern w:val="24"/>
              </w:rPr>
              <w:t>Caution due to different dosage regimes for SR and XL preparations. The BNF states that dosage should be reviewed if brand is altered.</w:t>
            </w:r>
          </w:p>
        </w:tc>
      </w:tr>
      <w:tr w:rsidR="00DF672D" w:rsidRPr="00DF672D" w14:paraId="5E5C01AC" w14:textId="77777777" w:rsidTr="00DF672D">
        <w:tc>
          <w:tcPr>
            <w:tcW w:w="2243" w:type="dxa"/>
            <w:shd w:val="clear" w:color="auto" w:fill="auto"/>
          </w:tcPr>
          <w:p w14:paraId="6B519DD5" w14:textId="77777777" w:rsidR="00914C94" w:rsidRPr="00DF672D" w:rsidRDefault="00914C94" w:rsidP="00DF672D">
            <w:pPr>
              <w:spacing w:before="0" w:after="0" w:line="360" w:lineRule="auto"/>
              <w:rPr>
                <w:rFonts w:cs="Arial"/>
                <w:bCs/>
                <w:kern w:val="24"/>
              </w:rPr>
            </w:pPr>
          </w:p>
        </w:tc>
        <w:tc>
          <w:tcPr>
            <w:tcW w:w="1701" w:type="dxa"/>
            <w:shd w:val="clear" w:color="auto" w:fill="auto"/>
          </w:tcPr>
          <w:p w14:paraId="3520D603" w14:textId="77777777" w:rsidR="00914C94" w:rsidRPr="00DF672D" w:rsidRDefault="00914C94" w:rsidP="00DF672D">
            <w:pPr>
              <w:spacing w:before="0" w:after="0" w:line="360" w:lineRule="auto"/>
              <w:rPr>
                <w:rFonts w:cs="Arial"/>
                <w:bCs/>
                <w:kern w:val="24"/>
              </w:rPr>
            </w:pPr>
            <w:r w:rsidRPr="00DF672D">
              <w:rPr>
                <w:rFonts w:cs="Arial"/>
                <w:bCs/>
                <w:kern w:val="24"/>
              </w:rPr>
              <w:t>Oxycodone</w:t>
            </w:r>
          </w:p>
        </w:tc>
        <w:tc>
          <w:tcPr>
            <w:tcW w:w="3544" w:type="dxa"/>
            <w:shd w:val="clear" w:color="auto" w:fill="auto"/>
          </w:tcPr>
          <w:p w14:paraId="47BEFEA4" w14:textId="77777777" w:rsidR="00914C94" w:rsidRPr="00DF672D" w:rsidRDefault="00914C94" w:rsidP="00DF672D">
            <w:pPr>
              <w:spacing w:before="0" w:after="0" w:line="360" w:lineRule="auto"/>
              <w:jc w:val="left"/>
              <w:rPr>
                <w:rFonts w:cs="Arial"/>
                <w:bCs/>
                <w:kern w:val="24"/>
              </w:rPr>
            </w:pPr>
            <w:r w:rsidRPr="00DF672D">
              <w:rPr>
                <w:rFonts w:cs="Arial"/>
                <w:bCs/>
                <w:kern w:val="24"/>
              </w:rPr>
              <w:t>Lynlor®, Longtec®</w:t>
            </w:r>
          </w:p>
        </w:tc>
        <w:tc>
          <w:tcPr>
            <w:tcW w:w="3569" w:type="dxa"/>
            <w:vMerge/>
            <w:shd w:val="clear" w:color="auto" w:fill="auto"/>
          </w:tcPr>
          <w:p w14:paraId="053BB359" w14:textId="77777777" w:rsidR="00914C94" w:rsidRPr="00DF672D" w:rsidRDefault="00914C94" w:rsidP="00DF672D">
            <w:pPr>
              <w:spacing w:before="0" w:after="0" w:line="360" w:lineRule="auto"/>
              <w:rPr>
                <w:rFonts w:cs="Arial"/>
                <w:bCs/>
                <w:kern w:val="24"/>
              </w:rPr>
            </w:pPr>
          </w:p>
        </w:tc>
      </w:tr>
      <w:tr w:rsidR="00DF672D" w:rsidRPr="00DF672D" w14:paraId="2FF67D48" w14:textId="77777777" w:rsidTr="00DF672D">
        <w:tc>
          <w:tcPr>
            <w:tcW w:w="2243" w:type="dxa"/>
            <w:shd w:val="clear" w:color="auto" w:fill="auto"/>
          </w:tcPr>
          <w:p w14:paraId="0AB90100" w14:textId="77777777" w:rsidR="00914C94" w:rsidRPr="00DF672D" w:rsidRDefault="00914C94" w:rsidP="00DF672D">
            <w:pPr>
              <w:spacing w:before="0" w:after="0" w:line="360" w:lineRule="auto"/>
              <w:rPr>
                <w:rFonts w:cs="Arial"/>
                <w:bCs/>
                <w:kern w:val="24"/>
              </w:rPr>
            </w:pPr>
          </w:p>
        </w:tc>
        <w:tc>
          <w:tcPr>
            <w:tcW w:w="1701" w:type="dxa"/>
            <w:shd w:val="clear" w:color="auto" w:fill="auto"/>
          </w:tcPr>
          <w:p w14:paraId="7668047C" w14:textId="77777777" w:rsidR="00914C94" w:rsidRPr="00DF672D" w:rsidRDefault="00914C94" w:rsidP="00DF672D">
            <w:pPr>
              <w:spacing w:before="0" w:after="0" w:line="360" w:lineRule="auto"/>
              <w:rPr>
                <w:rFonts w:cs="Arial"/>
                <w:bCs/>
                <w:kern w:val="24"/>
              </w:rPr>
            </w:pPr>
            <w:r w:rsidRPr="00DF672D">
              <w:rPr>
                <w:rFonts w:cs="Arial"/>
                <w:bCs/>
                <w:kern w:val="24"/>
              </w:rPr>
              <w:t>Fentanyl</w:t>
            </w:r>
          </w:p>
        </w:tc>
        <w:tc>
          <w:tcPr>
            <w:tcW w:w="3544" w:type="dxa"/>
            <w:shd w:val="clear" w:color="auto" w:fill="auto"/>
          </w:tcPr>
          <w:p w14:paraId="0F80FEB0" w14:textId="77777777" w:rsidR="00914C94" w:rsidRPr="00DF672D" w:rsidRDefault="00914C94" w:rsidP="00DF672D">
            <w:pPr>
              <w:spacing w:before="0" w:after="0" w:line="360" w:lineRule="auto"/>
              <w:jc w:val="left"/>
              <w:rPr>
                <w:rFonts w:cs="Arial"/>
                <w:bCs/>
                <w:kern w:val="24"/>
              </w:rPr>
            </w:pPr>
            <w:r w:rsidRPr="00DF672D">
              <w:rPr>
                <w:rFonts w:cs="Arial"/>
                <w:bCs/>
                <w:kern w:val="24"/>
              </w:rPr>
              <w:t>Durogesic DTrans®, Matrifen®, Tilofyl®</w:t>
            </w:r>
          </w:p>
        </w:tc>
        <w:tc>
          <w:tcPr>
            <w:tcW w:w="3569" w:type="dxa"/>
            <w:vMerge/>
            <w:shd w:val="clear" w:color="auto" w:fill="auto"/>
          </w:tcPr>
          <w:p w14:paraId="62B7604E" w14:textId="77777777" w:rsidR="00914C94" w:rsidRPr="00DF672D" w:rsidRDefault="00914C94" w:rsidP="00DF672D">
            <w:pPr>
              <w:spacing w:before="0" w:after="0" w:line="360" w:lineRule="auto"/>
              <w:rPr>
                <w:rFonts w:cs="Arial"/>
                <w:bCs/>
                <w:kern w:val="24"/>
              </w:rPr>
            </w:pPr>
          </w:p>
        </w:tc>
      </w:tr>
      <w:tr w:rsidR="00DF672D" w:rsidRPr="00DF672D" w14:paraId="6FE7F1CE" w14:textId="77777777" w:rsidTr="00DF672D">
        <w:tc>
          <w:tcPr>
            <w:tcW w:w="2243" w:type="dxa"/>
            <w:shd w:val="clear" w:color="auto" w:fill="auto"/>
          </w:tcPr>
          <w:p w14:paraId="1E31110B" w14:textId="77777777" w:rsidR="00914C94" w:rsidRPr="00DF672D" w:rsidRDefault="00914C94" w:rsidP="00DF672D">
            <w:pPr>
              <w:spacing w:before="0" w:after="0" w:line="360" w:lineRule="auto"/>
              <w:rPr>
                <w:rFonts w:cs="Arial"/>
                <w:bCs/>
                <w:kern w:val="24"/>
              </w:rPr>
            </w:pPr>
          </w:p>
        </w:tc>
        <w:tc>
          <w:tcPr>
            <w:tcW w:w="1701" w:type="dxa"/>
            <w:shd w:val="clear" w:color="auto" w:fill="auto"/>
          </w:tcPr>
          <w:p w14:paraId="5B679D53" w14:textId="77777777" w:rsidR="00914C94" w:rsidRPr="00DF672D" w:rsidRDefault="00914C94" w:rsidP="00DF672D">
            <w:pPr>
              <w:spacing w:before="0" w:after="0" w:line="360" w:lineRule="auto"/>
              <w:rPr>
                <w:rFonts w:cs="Arial"/>
                <w:bCs/>
                <w:kern w:val="24"/>
              </w:rPr>
            </w:pPr>
            <w:r w:rsidRPr="00DF672D">
              <w:rPr>
                <w:rFonts w:cs="Arial"/>
                <w:bCs/>
                <w:kern w:val="24"/>
              </w:rPr>
              <w:t>Buprenorphine</w:t>
            </w:r>
          </w:p>
        </w:tc>
        <w:tc>
          <w:tcPr>
            <w:tcW w:w="3544" w:type="dxa"/>
            <w:shd w:val="clear" w:color="auto" w:fill="auto"/>
          </w:tcPr>
          <w:p w14:paraId="310B5A30" w14:textId="77777777" w:rsidR="00914C94" w:rsidRPr="00DF672D" w:rsidRDefault="00914C94" w:rsidP="00DF672D">
            <w:pPr>
              <w:spacing w:before="0" w:after="0" w:line="360" w:lineRule="auto"/>
              <w:jc w:val="left"/>
              <w:rPr>
                <w:rFonts w:cs="Arial"/>
                <w:bCs/>
                <w:kern w:val="24"/>
              </w:rPr>
            </w:pPr>
            <w:r w:rsidRPr="00DF672D">
              <w:rPr>
                <w:rFonts w:cs="Arial"/>
                <w:bCs/>
                <w:kern w:val="24"/>
              </w:rPr>
              <w:t>Butrans®, Transtec®</w:t>
            </w:r>
          </w:p>
        </w:tc>
        <w:tc>
          <w:tcPr>
            <w:tcW w:w="3569" w:type="dxa"/>
            <w:vMerge/>
            <w:shd w:val="clear" w:color="auto" w:fill="auto"/>
          </w:tcPr>
          <w:p w14:paraId="1B8F9F88" w14:textId="77777777" w:rsidR="00914C94" w:rsidRPr="00DF672D" w:rsidRDefault="00914C94" w:rsidP="00DF672D">
            <w:pPr>
              <w:spacing w:before="0" w:after="0" w:line="360" w:lineRule="auto"/>
              <w:rPr>
                <w:rFonts w:cs="Arial"/>
                <w:bCs/>
                <w:kern w:val="24"/>
              </w:rPr>
            </w:pPr>
          </w:p>
        </w:tc>
      </w:tr>
    </w:tbl>
    <w:p w14:paraId="30345E07" w14:textId="77777777" w:rsidR="007519F9" w:rsidRDefault="007519F9" w:rsidP="00A55239">
      <w:pPr>
        <w:spacing w:before="0" w:after="0" w:line="259" w:lineRule="auto"/>
        <w:rPr>
          <w:rFonts w:cs="Arial"/>
        </w:rPr>
      </w:pPr>
    </w:p>
    <w:p w14:paraId="6408057D" w14:textId="77777777" w:rsidR="00927B7A" w:rsidRPr="00927B7A" w:rsidRDefault="00927B7A" w:rsidP="00927B7A">
      <w:pPr>
        <w:spacing w:before="0" w:after="0" w:line="259" w:lineRule="auto"/>
        <w:rPr>
          <w:rFonts w:cs="Arial"/>
          <w:bCs/>
        </w:rPr>
      </w:pPr>
      <w:r w:rsidRPr="00927B7A">
        <w:rPr>
          <w:rFonts w:cs="Arial"/>
          <w:bCs/>
        </w:rPr>
        <w:t>More information in relation to brand prescribing can be found by accessing the following link:</w:t>
      </w:r>
    </w:p>
    <w:p w14:paraId="22C7692C" w14:textId="77777777" w:rsidR="00407AF6" w:rsidRPr="00407AF6" w:rsidRDefault="00CF2869" w:rsidP="004A15C9">
      <w:pPr>
        <w:numPr>
          <w:ilvl w:val="0"/>
          <w:numId w:val="16"/>
        </w:numPr>
        <w:spacing w:before="0" w:after="0" w:line="259" w:lineRule="auto"/>
        <w:rPr>
          <w:rFonts w:cs="Arial"/>
          <w:bCs/>
        </w:rPr>
      </w:pPr>
      <w:hyperlink r:id="rId42" w:history="1">
        <w:r w:rsidR="00407AF6" w:rsidRPr="00407AF6">
          <w:rPr>
            <w:rStyle w:val="Hyperlink"/>
            <w:rFonts w:cs="Arial"/>
            <w:bCs/>
          </w:rPr>
          <w:t>MHRA: Antiepileptic Drugs – advice on switching between different manufacturers products for a particular drug</w:t>
        </w:r>
      </w:hyperlink>
      <w:r w:rsidR="000524ED">
        <w:rPr>
          <w:rFonts w:cs="Arial"/>
          <w:bCs/>
          <w:u w:val="single"/>
          <w:vertAlign w:val="superscript"/>
        </w:rPr>
        <w:t>16</w:t>
      </w:r>
    </w:p>
    <w:p w14:paraId="571A91E1" w14:textId="77777777" w:rsidR="00A32357" w:rsidRDefault="00A32357" w:rsidP="00A32357">
      <w:pPr>
        <w:spacing w:before="0" w:after="0" w:line="259" w:lineRule="auto"/>
        <w:rPr>
          <w:rFonts w:cs="Arial"/>
          <w:bCs/>
          <w:highlight w:val="yellow"/>
        </w:rPr>
      </w:pPr>
    </w:p>
    <w:p w14:paraId="315B36DC" w14:textId="77777777" w:rsidR="00A32357" w:rsidRDefault="00A32357" w:rsidP="00A32357">
      <w:pPr>
        <w:spacing w:before="0" w:after="0" w:line="259" w:lineRule="auto"/>
        <w:rPr>
          <w:rFonts w:cs="Arial"/>
          <w:bCs/>
          <w:highlight w:val="yellow"/>
        </w:rPr>
      </w:pPr>
    </w:p>
    <w:p w14:paraId="135472C3" w14:textId="77777777" w:rsidR="00A32357" w:rsidRPr="0070797B" w:rsidRDefault="005D07F7" w:rsidP="00644D19">
      <w:pPr>
        <w:pStyle w:val="Heading2"/>
        <w:jc w:val="left"/>
        <w:rPr>
          <w:color w:val="2F5496"/>
        </w:rPr>
      </w:pPr>
      <w:bookmarkStart w:id="39" w:name="_Toc39152535"/>
      <w:bookmarkStart w:id="40" w:name="_Toc46843659"/>
      <w:r>
        <w:rPr>
          <w:color w:val="2F5496"/>
        </w:rPr>
        <w:lastRenderedPageBreak/>
        <w:t>8.4</w:t>
      </w:r>
      <w:r w:rsidR="00A32357" w:rsidRPr="0070797B">
        <w:rPr>
          <w:color w:val="2F5496"/>
        </w:rPr>
        <w:t xml:space="preserve"> Unlicensed Medicines-specials</w:t>
      </w:r>
      <w:bookmarkEnd w:id="39"/>
      <w:bookmarkEnd w:id="40"/>
    </w:p>
    <w:p w14:paraId="29C35857" w14:textId="77777777" w:rsidR="00A32357" w:rsidRPr="00A32357" w:rsidRDefault="00A32357" w:rsidP="00A32357">
      <w:pPr>
        <w:spacing w:before="0" w:after="0" w:line="259" w:lineRule="auto"/>
        <w:rPr>
          <w:rFonts w:cs="Arial"/>
          <w:bCs/>
        </w:rPr>
      </w:pPr>
      <w:r w:rsidRPr="00A32357">
        <w:rPr>
          <w:rFonts w:cs="Arial"/>
          <w:bCs/>
        </w:rPr>
        <w:t xml:space="preserve">NMPs may prescribe </w:t>
      </w:r>
      <w:hyperlink r:id="rId43" w:history="1">
        <w:r w:rsidRPr="00A32357">
          <w:rPr>
            <w:rStyle w:val="Hyperlink"/>
            <w:rFonts w:cs="Arial"/>
            <w:bCs/>
          </w:rPr>
          <w:t>unlicensed medicinal products</w:t>
        </w:r>
        <w:r w:rsidR="00111C2C">
          <w:rPr>
            <w:rStyle w:val="Hyperlink"/>
            <w:rFonts w:cs="Arial"/>
            <w:bCs/>
            <w:vertAlign w:val="superscript"/>
          </w:rPr>
          <w:t>18</w:t>
        </w:r>
        <w:r w:rsidRPr="00111C2C">
          <w:rPr>
            <w:rStyle w:val="Hyperlink"/>
            <w:rFonts w:cs="Arial"/>
            <w:bCs/>
            <w:u w:val="none"/>
          </w:rPr>
          <w:t xml:space="preserve"> </w:t>
        </w:r>
      </w:hyperlink>
      <w:r w:rsidRPr="00A32357">
        <w:rPr>
          <w:rFonts w:cs="Arial"/>
          <w:bCs/>
        </w:rPr>
        <w:t xml:space="preserve">within their competence or as a supplementary prescriber as part of a Clinical Management Plan.  The NMP must accept full professional, clinical and legal responsibility for the prescribing of the unlicensed medicine(s).  It is advised that prescribing of an unlicensed preparation should only be considered only when there is no licensed alternative.  </w:t>
      </w:r>
    </w:p>
    <w:p w14:paraId="4620CF9B" w14:textId="77777777" w:rsidR="00A32357" w:rsidRDefault="00A32357" w:rsidP="00A32357">
      <w:pPr>
        <w:spacing w:before="0" w:after="0" w:line="259" w:lineRule="auto"/>
        <w:rPr>
          <w:rFonts w:cs="Arial"/>
          <w:bCs/>
        </w:rPr>
      </w:pPr>
    </w:p>
    <w:p w14:paraId="73C94A84" w14:textId="77777777" w:rsidR="00A32357" w:rsidRPr="00A32357" w:rsidRDefault="00A32357" w:rsidP="00A32357">
      <w:pPr>
        <w:spacing w:before="0" w:after="0" w:line="259" w:lineRule="auto"/>
        <w:rPr>
          <w:rFonts w:cs="Arial"/>
          <w:bCs/>
        </w:rPr>
      </w:pPr>
      <w:r w:rsidRPr="00A32357">
        <w:rPr>
          <w:rFonts w:cs="Arial"/>
          <w:bCs/>
        </w:rPr>
        <w:t>The following conditions must also be met:</w:t>
      </w:r>
    </w:p>
    <w:p w14:paraId="0C3CA8A9" w14:textId="77777777" w:rsidR="00A32357" w:rsidRDefault="00A32357" w:rsidP="004A15C9">
      <w:pPr>
        <w:numPr>
          <w:ilvl w:val="0"/>
          <w:numId w:val="17"/>
        </w:numPr>
        <w:spacing w:before="0" w:after="0" w:line="259" w:lineRule="auto"/>
        <w:rPr>
          <w:rFonts w:cs="Arial"/>
          <w:bCs/>
        </w:rPr>
      </w:pPr>
      <w:r w:rsidRPr="00A32357">
        <w:rPr>
          <w:rFonts w:cs="Arial"/>
          <w:bCs/>
        </w:rPr>
        <w:t>There is sufficient evidence to support prescribing in terms of safety and efficacy</w:t>
      </w:r>
    </w:p>
    <w:p w14:paraId="0E1F14DE" w14:textId="77777777" w:rsidR="00A32357" w:rsidRDefault="00A32357" w:rsidP="00A32357">
      <w:pPr>
        <w:spacing w:before="0" w:after="0" w:line="259" w:lineRule="auto"/>
        <w:ind w:left="720"/>
        <w:rPr>
          <w:rFonts w:cs="Arial"/>
          <w:bCs/>
        </w:rPr>
      </w:pPr>
    </w:p>
    <w:p w14:paraId="59704856" w14:textId="77777777" w:rsidR="00A32357" w:rsidRDefault="00A32357" w:rsidP="00A32357">
      <w:pPr>
        <w:spacing w:before="0" w:after="0" w:line="259" w:lineRule="auto"/>
        <w:ind w:left="720"/>
        <w:rPr>
          <w:rFonts w:cs="Arial"/>
          <w:bCs/>
        </w:rPr>
      </w:pPr>
      <w:r w:rsidRPr="00A32357">
        <w:rPr>
          <w:rFonts w:cs="Arial"/>
          <w:bCs/>
        </w:rPr>
        <w:t>Explain to patients in broad terms why the medicines are not licensed for their proposed use.  In the case of a supplementary prescriber any use of a medicines outside its product license must have a joint agreement of both the supplementary and independent prescribers and the status of the drug should be recorded in the CMP</w:t>
      </w:r>
    </w:p>
    <w:p w14:paraId="4393F438" w14:textId="77777777" w:rsidR="00A32357" w:rsidRPr="00A32357" w:rsidRDefault="00A32357" w:rsidP="00A32357">
      <w:pPr>
        <w:spacing w:before="0" w:after="0" w:line="259" w:lineRule="auto"/>
        <w:ind w:left="720"/>
        <w:rPr>
          <w:rFonts w:cs="Arial"/>
          <w:bCs/>
        </w:rPr>
      </w:pPr>
    </w:p>
    <w:p w14:paraId="1E0CCE2E" w14:textId="77777777" w:rsidR="00A32357" w:rsidRPr="00A32357" w:rsidRDefault="00A32357" w:rsidP="004A15C9">
      <w:pPr>
        <w:numPr>
          <w:ilvl w:val="0"/>
          <w:numId w:val="17"/>
        </w:numPr>
        <w:spacing w:before="0" w:after="0" w:line="259" w:lineRule="auto"/>
        <w:rPr>
          <w:rFonts w:cs="Arial"/>
          <w:bCs/>
        </w:rPr>
      </w:pPr>
      <w:r w:rsidRPr="00A32357">
        <w:rPr>
          <w:rFonts w:cs="Arial"/>
          <w:bCs/>
        </w:rPr>
        <w:t xml:space="preserve">Where a patient is unable to agree to such treatment, the prescriber should act in accordance to best </w:t>
      </w:r>
      <w:proofErr w:type="gramStart"/>
      <w:r w:rsidRPr="00A32357">
        <w:rPr>
          <w:rFonts w:cs="Arial"/>
          <w:bCs/>
        </w:rPr>
        <w:t>practice  in</w:t>
      </w:r>
      <w:proofErr w:type="gramEnd"/>
      <w:r w:rsidRPr="00A32357">
        <w:rPr>
          <w:rFonts w:cs="Arial"/>
          <w:bCs/>
        </w:rPr>
        <w:t xml:space="preserve"> the given situation in line with local policy/formulary </w:t>
      </w:r>
    </w:p>
    <w:p w14:paraId="6C4E7946" w14:textId="77777777" w:rsidR="00A32357" w:rsidRDefault="00A32357" w:rsidP="00A32357">
      <w:pPr>
        <w:spacing w:before="0" w:after="0" w:line="259" w:lineRule="auto"/>
        <w:ind w:left="720"/>
        <w:rPr>
          <w:rFonts w:cs="Arial"/>
          <w:bCs/>
        </w:rPr>
      </w:pPr>
    </w:p>
    <w:p w14:paraId="198F65F9" w14:textId="77777777" w:rsidR="00A32357" w:rsidRPr="00A32357" w:rsidRDefault="00A32357" w:rsidP="004A15C9">
      <w:pPr>
        <w:numPr>
          <w:ilvl w:val="0"/>
          <w:numId w:val="17"/>
        </w:numPr>
        <w:spacing w:before="0" w:after="0" w:line="259" w:lineRule="auto"/>
        <w:rPr>
          <w:rFonts w:cs="Arial"/>
          <w:bCs/>
        </w:rPr>
      </w:pPr>
      <w:r w:rsidRPr="00A32357">
        <w:rPr>
          <w:rFonts w:cs="Arial"/>
          <w:bCs/>
        </w:rPr>
        <w:t>The NMP must make clear, accurate, and legible record of all medicines prescribed and the reason for prescribing of an unlicensed medicine.</w:t>
      </w:r>
    </w:p>
    <w:p w14:paraId="2D47B888" w14:textId="77777777" w:rsidR="00A32357" w:rsidRPr="00A32357" w:rsidRDefault="00A32357" w:rsidP="00A32357">
      <w:pPr>
        <w:spacing w:before="0" w:after="0" w:line="259" w:lineRule="auto"/>
        <w:rPr>
          <w:rFonts w:cs="Arial"/>
          <w:bCs/>
        </w:rPr>
      </w:pPr>
    </w:p>
    <w:p w14:paraId="337F004A" w14:textId="77777777" w:rsidR="00A32357" w:rsidRDefault="00A32357" w:rsidP="00A32357">
      <w:pPr>
        <w:spacing w:before="0" w:after="0" w:line="259" w:lineRule="auto"/>
        <w:rPr>
          <w:rFonts w:cs="Arial"/>
          <w:bCs/>
        </w:rPr>
      </w:pPr>
      <w:r w:rsidRPr="00A32357">
        <w:rPr>
          <w:rFonts w:cs="Arial"/>
          <w:bCs/>
        </w:rPr>
        <w:t>The following links may provide information useful when deciding on whether to prescribe an unlicensed medicine.</w:t>
      </w:r>
    </w:p>
    <w:p w14:paraId="2A3AEA48" w14:textId="77777777" w:rsidR="00A32357" w:rsidRPr="00A32357" w:rsidRDefault="00A32357" w:rsidP="00A32357">
      <w:pPr>
        <w:spacing w:before="0" w:after="0" w:line="259" w:lineRule="auto"/>
        <w:rPr>
          <w:rFonts w:cs="Arial"/>
          <w:bCs/>
        </w:rPr>
      </w:pPr>
    </w:p>
    <w:p w14:paraId="313A8601" w14:textId="77777777" w:rsidR="00A32357" w:rsidRPr="00287A77" w:rsidRDefault="00287A77" w:rsidP="004A15C9">
      <w:pPr>
        <w:numPr>
          <w:ilvl w:val="0"/>
          <w:numId w:val="18"/>
        </w:numPr>
        <w:spacing w:before="0" w:after="0" w:line="259" w:lineRule="auto"/>
        <w:rPr>
          <w:rStyle w:val="Hyperlink"/>
          <w:rFonts w:cs="Arial"/>
          <w:bCs/>
        </w:rPr>
      </w:pPr>
      <w:r>
        <w:rPr>
          <w:rFonts w:cs="Arial"/>
          <w:bCs/>
          <w:u w:val="single"/>
        </w:rPr>
        <w:fldChar w:fldCharType="begin"/>
      </w:r>
      <w:r>
        <w:rPr>
          <w:rFonts w:cs="Arial"/>
          <w:bCs/>
          <w:u w:val="single"/>
        </w:rPr>
        <w:instrText xml:space="preserve"> HYPERLINK "https://www.sps.nhs.uk/articles/what-are-the-therapeutic-options-for-patients-unable-to-take-solid-oral-dosage-forms/" \o "What are the therapeutic options for patients unable to take solid oral dosage forms?" </w:instrText>
      </w:r>
      <w:r>
        <w:rPr>
          <w:rFonts w:cs="Arial"/>
          <w:bCs/>
          <w:u w:val="single"/>
        </w:rPr>
        <w:fldChar w:fldCharType="separate"/>
      </w:r>
      <w:r w:rsidRPr="00287A77">
        <w:rPr>
          <w:rStyle w:val="Hyperlink"/>
          <w:rFonts w:cs="Arial"/>
          <w:bCs/>
        </w:rPr>
        <w:t xml:space="preserve">SPS Q&amp;A: </w:t>
      </w:r>
      <w:r w:rsidRPr="00287A77">
        <w:rPr>
          <w:rStyle w:val="Hyperlink"/>
          <w:rFonts w:ascii="Helvetica" w:hAnsi="Helvetica" w:cs="Helvetica"/>
        </w:rPr>
        <w:t>What are the therapeutic options for patients unable to take solid oral dosage forms?</w:t>
      </w:r>
      <w:r w:rsidR="00A32357" w:rsidRPr="00287A77">
        <w:rPr>
          <w:rStyle w:val="Hyperlink"/>
          <w:rFonts w:cs="Arial"/>
          <w:bCs/>
        </w:rPr>
        <w:t xml:space="preserve"> </w:t>
      </w:r>
      <w:r w:rsidR="003520E7">
        <w:rPr>
          <w:rStyle w:val="Hyperlink"/>
          <w:rFonts w:cs="Arial"/>
          <w:bCs/>
          <w:vertAlign w:val="superscript"/>
        </w:rPr>
        <w:t>19</w:t>
      </w:r>
    </w:p>
    <w:p w14:paraId="2D339088" w14:textId="77777777" w:rsidR="00287A77" w:rsidRDefault="00287A77" w:rsidP="004A15C9">
      <w:pPr>
        <w:numPr>
          <w:ilvl w:val="0"/>
          <w:numId w:val="18"/>
        </w:numPr>
        <w:spacing w:before="0" w:after="0" w:line="259" w:lineRule="auto"/>
        <w:rPr>
          <w:rFonts w:cs="Arial"/>
          <w:bCs/>
          <w:u w:val="single"/>
        </w:rPr>
      </w:pPr>
      <w:r>
        <w:rPr>
          <w:rFonts w:cs="Arial"/>
          <w:bCs/>
          <w:u w:val="single"/>
        </w:rPr>
        <w:fldChar w:fldCharType="end"/>
      </w:r>
      <w:hyperlink r:id="rId44" w:history="1">
        <w:r w:rsidRPr="00287A77">
          <w:rPr>
            <w:rStyle w:val="Hyperlink"/>
            <w:rFonts w:cs="Arial"/>
            <w:bCs/>
          </w:rPr>
          <w:t>RPS: Prescribing Specials – Guidance for the Prescribers of Specials</w:t>
        </w:r>
      </w:hyperlink>
      <w:r w:rsidR="003520E7">
        <w:rPr>
          <w:rFonts w:cs="Arial"/>
          <w:bCs/>
          <w:u w:val="single"/>
          <w:vertAlign w:val="superscript"/>
        </w:rPr>
        <w:t>20</w:t>
      </w:r>
    </w:p>
    <w:p w14:paraId="2E3C85C7" w14:textId="77777777" w:rsidR="00287A77" w:rsidRDefault="00CF2869" w:rsidP="004A15C9">
      <w:pPr>
        <w:numPr>
          <w:ilvl w:val="0"/>
          <w:numId w:val="18"/>
        </w:numPr>
        <w:spacing w:before="0" w:after="0" w:line="259" w:lineRule="auto"/>
        <w:rPr>
          <w:rFonts w:cs="Arial"/>
          <w:bCs/>
          <w:u w:val="single"/>
        </w:rPr>
      </w:pPr>
      <w:hyperlink r:id="rId45" w:history="1">
        <w:r w:rsidR="00287A77" w:rsidRPr="00287A77">
          <w:rPr>
            <w:rStyle w:val="Hyperlink"/>
            <w:rFonts w:cs="Arial"/>
            <w:bCs/>
          </w:rPr>
          <w:t>GMC: Good practice in prescribing and managing medicines and devices – Prescribing Unlicensed Medicines</w:t>
        </w:r>
      </w:hyperlink>
      <w:r w:rsidR="003520E7">
        <w:rPr>
          <w:rFonts w:cs="Arial"/>
          <w:bCs/>
          <w:u w:val="single"/>
          <w:vertAlign w:val="superscript"/>
        </w:rPr>
        <w:t>21</w:t>
      </w:r>
    </w:p>
    <w:p w14:paraId="62E4EAFF" w14:textId="77777777" w:rsidR="00B66EBE" w:rsidRDefault="00B66EBE" w:rsidP="00B76E31">
      <w:pPr>
        <w:spacing w:before="0" w:after="0" w:line="259" w:lineRule="auto"/>
        <w:ind w:left="720"/>
        <w:rPr>
          <w:rFonts w:cs="Arial"/>
          <w:bCs/>
          <w:u w:val="single"/>
        </w:rPr>
      </w:pPr>
    </w:p>
    <w:p w14:paraId="03183253" w14:textId="77777777" w:rsidR="00B66EBE" w:rsidRDefault="00B66EBE" w:rsidP="00B66EBE">
      <w:pPr>
        <w:spacing w:before="0" w:after="0" w:line="259" w:lineRule="auto"/>
        <w:rPr>
          <w:rFonts w:cs="Arial"/>
          <w:bCs/>
          <w:u w:val="single"/>
        </w:rPr>
      </w:pPr>
    </w:p>
    <w:p w14:paraId="524F4D07" w14:textId="77777777" w:rsidR="00B66EBE" w:rsidRPr="0070797B" w:rsidRDefault="005D07F7" w:rsidP="00644D19">
      <w:pPr>
        <w:pStyle w:val="Heading2"/>
        <w:jc w:val="left"/>
        <w:rPr>
          <w:color w:val="2F5496"/>
        </w:rPr>
      </w:pPr>
      <w:bookmarkStart w:id="41" w:name="_Toc39152536"/>
      <w:bookmarkStart w:id="42" w:name="_Toc46843660"/>
      <w:r>
        <w:rPr>
          <w:color w:val="2F5496"/>
        </w:rPr>
        <w:t>8.5</w:t>
      </w:r>
      <w:r w:rsidR="00B66EBE" w:rsidRPr="0070797B">
        <w:rPr>
          <w:color w:val="2F5496"/>
        </w:rPr>
        <w:t xml:space="preserve"> Prescribing medicines for use outside the terms of the license - Off Label</w:t>
      </w:r>
      <w:bookmarkEnd w:id="41"/>
      <w:bookmarkEnd w:id="42"/>
    </w:p>
    <w:p w14:paraId="474AEC32" w14:textId="77777777" w:rsidR="00B66EBE" w:rsidRDefault="00B66EBE" w:rsidP="00B66EBE">
      <w:pPr>
        <w:spacing w:before="0" w:after="0" w:line="259" w:lineRule="auto"/>
        <w:rPr>
          <w:rFonts w:cs="Arial"/>
          <w:bCs/>
        </w:rPr>
      </w:pPr>
      <w:r w:rsidRPr="00B66EBE">
        <w:rPr>
          <w:rFonts w:cs="Arial"/>
          <w:bCs/>
        </w:rPr>
        <w:t>Non-medical prescribers may independently prescribe medicines that are or off label i.e. for use outside their licensed indications or UK marketing authorisation.  The non-medical prescriber must accept professional, clinical and legal responsibility for that prescribing and should only prescribe outside the terms of the license where it is accepted clinical practice.  The prescriber should:</w:t>
      </w:r>
    </w:p>
    <w:p w14:paraId="2054252A" w14:textId="77777777" w:rsidR="00B66EBE" w:rsidRPr="00B66EBE" w:rsidRDefault="00B66EBE" w:rsidP="00B66EBE">
      <w:pPr>
        <w:spacing w:before="0" w:after="0" w:line="259" w:lineRule="auto"/>
        <w:rPr>
          <w:rFonts w:cs="Arial"/>
          <w:bCs/>
        </w:rPr>
      </w:pPr>
    </w:p>
    <w:p w14:paraId="57227E6B" w14:textId="77777777" w:rsidR="00B66EBE" w:rsidRPr="00B66EBE" w:rsidRDefault="00B66EBE" w:rsidP="004A15C9">
      <w:pPr>
        <w:numPr>
          <w:ilvl w:val="0"/>
          <w:numId w:val="20"/>
        </w:numPr>
        <w:spacing w:before="0" w:after="0" w:line="259" w:lineRule="auto"/>
        <w:rPr>
          <w:rFonts w:cs="Arial"/>
          <w:bCs/>
        </w:rPr>
      </w:pPr>
      <w:r w:rsidRPr="00B66EBE">
        <w:rPr>
          <w:rFonts w:cs="Arial"/>
          <w:bCs/>
        </w:rPr>
        <w:t>Discuss the treatment with the patient/carer and to gain consent before prescribing</w:t>
      </w:r>
    </w:p>
    <w:p w14:paraId="6158B79E" w14:textId="77777777" w:rsidR="00B66EBE" w:rsidRPr="00B66EBE" w:rsidRDefault="00B66EBE" w:rsidP="004A15C9">
      <w:pPr>
        <w:numPr>
          <w:ilvl w:val="0"/>
          <w:numId w:val="20"/>
        </w:numPr>
        <w:spacing w:before="0" w:after="0" w:line="259" w:lineRule="auto"/>
        <w:rPr>
          <w:rFonts w:cs="Arial"/>
          <w:bCs/>
        </w:rPr>
      </w:pPr>
      <w:r w:rsidRPr="00B66EBE">
        <w:rPr>
          <w:rFonts w:cs="Arial"/>
          <w:bCs/>
        </w:rPr>
        <w:t>Act in accordance with best practice should the patient not agree to treatment</w:t>
      </w:r>
    </w:p>
    <w:p w14:paraId="2389260E" w14:textId="77777777" w:rsidR="00B66EBE" w:rsidRPr="00B66EBE" w:rsidRDefault="00B66EBE" w:rsidP="004A15C9">
      <w:pPr>
        <w:numPr>
          <w:ilvl w:val="0"/>
          <w:numId w:val="20"/>
        </w:numPr>
        <w:spacing w:before="0" w:after="0" w:line="259" w:lineRule="auto"/>
        <w:rPr>
          <w:rFonts w:cs="Arial"/>
          <w:bCs/>
        </w:rPr>
      </w:pPr>
      <w:r w:rsidRPr="00B66EBE">
        <w:rPr>
          <w:rFonts w:cs="Arial"/>
          <w:bCs/>
        </w:rPr>
        <w:t>Supplementary prescribers may only prescribe off-license in line with the CMP, provided there is a joint agreement of both the supplementary and independent prescriber and the status of the drug is recorded in the clinical management plan.</w:t>
      </w:r>
    </w:p>
    <w:p w14:paraId="5F85B203" w14:textId="77777777" w:rsidR="00A32357" w:rsidRDefault="00287A77" w:rsidP="00B66EBE">
      <w:pPr>
        <w:spacing w:before="0" w:after="0" w:line="259" w:lineRule="auto"/>
        <w:rPr>
          <w:rFonts w:cs="Arial"/>
          <w:bCs/>
        </w:rPr>
      </w:pPr>
      <w:r w:rsidRPr="00B66EBE">
        <w:rPr>
          <w:rFonts w:cs="Arial"/>
          <w:bCs/>
        </w:rPr>
        <w:t xml:space="preserve"> </w:t>
      </w:r>
    </w:p>
    <w:p w14:paraId="270B0F82" w14:textId="77777777" w:rsidR="00B66EBE" w:rsidRPr="0070797B" w:rsidRDefault="005D07F7" w:rsidP="00644D19">
      <w:pPr>
        <w:pStyle w:val="Heading2"/>
        <w:jc w:val="left"/>
        <w:rPr>
          <w:color w:val="2F5496"/>
        </w:rPr>
      </w:pPr>
      <w:bookmarkStart w:id="43" w:name="_Toc39152537"/>
      <w:bookmarkStart w:id="44" w:name="_Toc46843661"/>
      <w:r>
        <w:rPr>
          <w:color w:val="2F5496"/>
        </w:rPr>
        <w:t>8.6</w:t>
      </w:r>
      <w:r w:rsidR="00B66EBE" w:rsidRPr="0070797B">
        <w:rPr>
          <w:color w:val="2F5496"/>
        </w:rPr>
        <w:t xml:space="preserve"> Controlled Drugs</w:t>
      </w:r>
      <w:bookmarkEnd w:id="43"/>
      <w:bookmarkEnd w:id="44"/>
    </w:p>
    <w:p w14:paraId="6E5EAFB6" w14:textId="77777777" w:rsidR="00B66EBE" w:rsidRDefault="00B66EBE" w:rsidP="00B66EBE">
      <w:pPr>
        <w:spacing w:before="0" w:after="0" w:line="259" w:lineRule="auto"/>
        <w:rPr>
          <w:rFonts w:cs="Arial"/>
          <w:bCs/>
        </w:rPr>
      </w:pPr>
      <w:r w:rsidRPr="00B66EBE">
        <w:rPr>
          <w:rFonts w:cs="Arial"/>
          <w:bCs/>
        </w:rPr>
        <w:t xml:space="preserve">All health and social care organisations are accountable for ensuring the safe management of controlled drugs and will be subject to monitoring of controlled drug prescribing as part of the regular prescribing review. </w:t>
      </w:r>
    </w:p>
    <w:p w14:paraId="4187CFE1" w14:textId="77777777" w:rsidR="00021CBD" w:rsidRDefault="00021CBD" w:rsidP="00B66EBE">
      <w:pPr>
        <w:spacing w:before="0" w:after="0" w:line="259" w:lineRule="auto"/>
        <w:rPr>
          <w:rFonts w:cs="Arial"/>
          <w:bCs/>
        </w:rPr>
      </w:pPr>
    </w:p>
    <w:p w14:paraId="123EC0D6" w14:textId="77777777" w:rsidR="00B66EBE" w:rsidRDefault="00B66EBE" w:rsidP="00B66EBE">
      <w:pPr>
        <w:spacing w:before="0" w:after="0" w:line="259" w:lineRule="auto"/>
        <w:rPr>
          <w:rFonts w:cs="Arial"/>
          <w:bCs/>
        </w:rPr>
      </w:pPr>
      <w:r w:rsidRPr="00B66EBE">
        <w:rPr>
          <w:rFonts w:cs="Arial"/>
          <w:bCs/>
        </w:rPr>
        <w:lastRenderedPageBreak/>
        <w:t>The restriction on which controlled drugs could be prescribed by NMP Independent Prescribers was lifted in 2012 by Statutory Instrument no 973.  This change in law permits Independent prescriber to prescribe all controlled drugs in schedule 2, 3, 4 and 5, provided this is within their competence.  The regulation also clarifies the mixing of medications that include controlled drugs.</w:t>
      </w:r>
    </w:p>
    <w:p w14:paraId="0C7879E8" w14:textId="77777777" w:rsidR="00B66EBE" w:rsidRPr="00B66EBE" w:rsidRDefault="00B66EBE" w:rsidP="00B66EBE">
      <w:pPr>
        <w:spacing w:before="0" w:after="0" w:line="259" w:lineRule="auto"/>
        <w:rPr>
          <w:rFonts w:cs="Arial"/>
          <w:bCs/>
        </w:rPr>
      </w:pPr>
    </w:p>
    <w:p w14:paraId="04E97A8C" w14:textId="77777777" w:rsidR="00B66EBE" w:rsidRDefault="00B66EBE" w:rsidP="00B66EBE">
      <w:pPr>
        <w:spacing w:before="0" w:after="0" w:line="259" w:lineRule="auto"/>
        <w:rPr>
          <w:rFonts w:cs="Arial"/>
          <w:bCs/>
        </w:rPr>
      </w:pPr>
      <w:r w:rsidRPr="00B66EBE">
        <w:rPr>
          <w:rFonts w:cs="Arial"/>
          <w:bCs/>
        </w:rPr>
        <w:t xml:space="preserve">For detailed information on prescribing of controlled drugs prescriber should refer to the current </w:t>
      </w:r>
      <w:hyperlink r:id="rId46" w:history="1">
        <w:r w:rsidRPr="00B66EBE">
          <w:rPr>
            <w:rStyle w:val="Hyperlink"/>
            <w:rFonts w:cs="Arial"/>
            <w:bCs/>
          </w:rPr>
          <w:t>BNF</w:t>
        </w:r>
      </w:hyperlink>
      <w:r w:rsidR="00524E0A">
        <w:rPr>
          <w:rFonts w:cs="Arial"/>
          <w:bCs/>
          <w:vertAlign w:val="superscript"/>
        </w:rPr>
        <w:t>22</w:t>
      </w:r>
      <w:r>
        <w:rPr>
          <w:rFonts w:cs="Arial"/>
          <w:bCs/>
        </w:rPr>
        <w:t>.</w:t>
      </w:r>
    </w:p>
    <w:p w14:paraId="0C0F085B" w14:textId="77777777" w:rsidR="00B66EBE" w:rsidRDefault="00B66EBE" w:rsidP="00B66EBE">
      <w:pPr>
        <w:spacing w:before="0" w:after="0" w:line="259" w:lineRule="auto"/>
        <w:rPr>
          <w:rFonts w:cs="Arial"/>
          <w:bCs/>
        </w:rPr>
      </w:pPr>
    </w:p>
    <w:p w14:paraId="37C04714" w14:textId="77777777" w:rsidR="00B66EBE" w:rsidRPr="00B66EBE" w:rsidRDefault="00B66EBE" w:rsidP="00B66EBE">
      <w:pPr>
        <w:spacing w:before="0" w:after="0" w:line="259" w:lineRule="auto"/>
        <w:rPr>
          <w:rFonts w:cs="Arial"/>
          <w:b/>
          <w:bCs/>
        </w:rPr>
      </w:pPr>
      <w:r w:rsidRPr="00B66EBE">
        <w:rPr>
          <w:rFonts w:cs="Arial"/>
          <w:b/>
          <w:bCs/>
        </w:rPr>
        <w:t>Key points to note are:</w:t>
      </w:r>
    </w:p>
    <w:p w14:paraId="667390B2" w14:textId="77777777" w:rsidR="00B66EBE" w:rsidRDefault="00B66EBE" w:rsidP="00B66EBE">
      <w:pPr>
        <w:spacing w:before="0" w:after="0" w:line="259" w:lineRule="auto"/>
        <w:rPr>
          <w:rFonts w:cs="Arial"/>
          <w:bCs/>
        </w:rPr>
      </w:pPr>
      <w:r w:rsidRPr="00B66EBE">
        <w:rPr>
          <w:rFonts w:cs="Arial"/>
          <w:bCs/>
        </w:rPr>
        <w:t>In line with national best practice recommendations</w:t>
      </w:r>
      <w:r>
        <w:rPr>
          <w:rFonts w:cs="Arial"/>
          <w:bCs/>
        </w:rPr>
        <w:t>:</w:t>
      </w:r>
    </w:p>
    <w:p w14:paraId="7A82F2F9" w14:textId="77777777" w:rsidR="00B66EBE" w:rsidRPr="00B66EBE" w:rsidRDefault="00B66EBE" w:rsidP="00B66EBE">
      <w:pPr>
        <w:spacing w:before="0" w:after="0" w:line="259" w:lineRule="auto"/>
        <w:rPr>
          <w:rFonts w:cs="Arial"/>
          <w:bCs/>
        </w:rPr>
      </w:pPr>
    </w:p>
    <w:p w14:paraId="0CB03365" w14:textId="77777777" w:rsidR="00B66EBE" w:rsidRPr="00B66EBE" w:rsidRDefault="00B66EBE" w:rsidP="004A15C9">
      <w:pPr>
        <w:numPr>
          <w:ilvl w:val="0"/>
          <w:numId w:val="21"/>
        </w:numPr>
        <w:spacing w:before="0" w:after="0" w:line="259" w:lineRule="auto"/>
        <w:rPr>
          <w:rFonts w:cs="Arial"/>
          <w:bCs/>
        </w:rPr>
      </w:pPr>
      <w:r w:rsidRPr="00B66EBE">
        <w:rPr>
          <w:rFonts w:cs="Arial"/>
          <w:bCs/>
        </w:rPr>
        <w:t xml:space="preserve">The quantity of any controlled drug in schedule 2 and 3 (including tramadol) prescribed should not exceed one month’s supply.  </w:t>
      </w:r>
    </w:p>
    <w:p w14:paraId="5EB063C2" w14:textId="77777777" w:rsidR="00B66EBE" w:rsidRDefault="00B66EBE" w:rsidP="004A15C9">
      <w:pPr>
        <w:numPr>
          <w:ilvl w:val="0"/>
          <w:numId w:val="21"/>
        </w:numPr>
        <w:spacing w:before="0" w:after="0" w:line="259" w:lineRule="auto"/>
        <w:rPr>
          <w:rFonts w:cs="Arial"/>
          <w:bCs/>
        </w:rPr>
      </w:pPr>
      <w:r w:rsidRPr="00B66EBE">
        <w:rPr>
          <w:rFonts w:cs="Arial"/>
          <w:bCs/>
        </w:rPr>
        <w:t>Prescribers must not prescribe for themselves or family members or must not prescribe a controlled drug someone close except in exceptional cases where treatment is required immediately to:</w:t>
      </w:r>
    </w:p>
    <w:p w14:paraId="2FF000EA" w14:textId="77777777" w:rsidR="00B66EBE" w:rsidRPr="00B66EBE" w:rsidRDefault="00B66EBE" w:rsidP="004A15C9">
      <w:pPr>
        <w:numPr>
          <w:ilvl w:val="1"/>
          <w:numId w:val="21"/>
        </w:numPr>
        <w:spacing w:before="0" w:after="0" w:line="259" w:lineRule="auto"/>
        <w:rPr>
          <w:rFonts w:cs="Arial"/>
          <w:bCs/>
        </w:rPr>
      </w:pPr>
      <w:r w:rsidRPr="00B66EBE">
        <w:rPr>
          <w:rFonts w:cs="Arial"/>
          <w:bCs/>
        </w:rPr>
        <w:t xml:space="preserve">Save life </w:t>
      </w:r>
    </w:p>
    <w:p w14:paraId="255FD904" w14:textId="77777777" w:rsidR="00B66EBE" w:rsidRDefault="00B66EBE" w:rsidP="004A15C9">
      <w:pPr>
        <w:numPr>
          <w:ilvl w:val="1"/>
          <w:numId w:val="21"/>
        </w:numPr>
        <w:spacing w:before="0" w:after="0" w:line="259" w:lineRule="auto"/>
        <w:rPr>
          <w:rFonts w:cs="Arial"/>
          <w:bCs/>
        </w:rPr>
      </w:pPr>
      <w:r w:rsidRPr="00B66EBE">
        <w:rPr>
          <w:rFonts w:cs="Arial"/>
          <w:bCs/>
        </w:rPr>
        <w:t>Avoid significant deterioration in the patient</w:t>
      </w:r>
      <w:r w:rsidR="00EA0976">
        <w:rPr>
          <w:rFonts w:cs="Arial"/>
          <w:bCs/>
        </w:rPr>
        <w:t>’s</w:t>
      </w:r>
      <w:r w:rsidRPr="00B66EBE">
        <w:rPr>
          <w:rFonts w:cs="Arial"/>
          <w:bCs/>
        </w:rPr>
        <w:t xml:space="preserve"> health e.g. Alleviate otherwise uncontrollable pain</w:t>
      </w:r>
    </w:p>
    <w:p w14:paraId="69153748" w14:textId="77777777" w:rsidR="00B66EBE" w:rsidRDefault="00B66EBE" w:rsidP="00B66EBE">
      <w:pPr>
        <w:spacing w:before="0" w:after="0" w:line="259" w:lineRule="auto"/>
        <w:rPr>
          <w:rFonts w:cs="Arial"/>
          <w:bCs/>
        </w:rPr>
      </w:pPr>
    </w:p>
    <w:p w14:paraId="6DF6B446" w14:textId="77777777" w:rsidR="00B66EBE" w:rsidRPr="00B66EBE" w:rsidRDefault="00B66EBE" w:rsidP="00B66EBE">
      <w:pPr>
        <w:spacing w:before="0" w:after="0" w:line="259" w:lineRule="auto"/>
        <w:rPr>
          <w:rFonts w:cs="Arial"/>
          <w:bCs/>
        </w:rPr>
      </w:pPr>
      <w:r w:rsidRPr="00B66EBE">
        <w:rPr>
          <w:rFonts w:cs="Arial"/>
          <w:bCs/>
        </w:rPr>
        <w:t>Prescribers must be able to justify any actions and document the relationship and the emergency circumstances that necessitated the prescribing of a controlled drug in such circumstances.</w:t>
      </w:r>
    </w:p>
    <w:p w14:paraId="2C6EC995" w14:textId="77777777" w:rsidR="00B66EBE" w:rsidRPr="00B66EBE" w:rsidRDefault="00B66EBE" w:rsidP="00B66EBE">
      <w:pPr>
        <w:spacing w:before="0" w:after="0" w:line="259" w:lineRule="auto"/>
        <w:rPr>
          <w:rFonts w:cs="Arial"/>
          <w:bCs/>
        </w:rPr>
      </w:pPr>
    </w:p>
    <w:p w14:paraId="31381F30" w14:textId="77777777" w:rsidR="00B66EBE" w:rsidRPr="0070797B" w:rsidRDefault="005D07F7" w:rsidP="00644D19">
      <w:pPr>
        <w:pStyle w:val="Heading2"/>
        <w:jc w:val="left"/>
        <w:rPr>
          <w:color w:val="2F5496"/>
        </w:rPr>
      </w:pPr>
      <w:bookmarkStart w:id="45" w:name="_Toc39152538"/>
      <w:bookmarkStart w:id="46" w:name="_Toc46843662"/>
      <w:r>
        <w:rPr>
          <w:color w:val="2F5496"/>
        </w:rPr>
        <w:t>8.7</w:t>
      </w:r>
      <w:r w:rsidR="00B66EBE" w:rsidRPr="0070797B">
        <w:rPr>
          <w:color w:val="2F5496"/>
        </w:rPr>
        <w:t xml:space="preserve"> Repeat Prescribing</w:t>
      </w:r>
      <w:bookmarkEnd w:id="45"/>
      <w:bookmarkEnd w:id="46"/>
    </w:p>
    <w:p w14:paraId="511147E8" w14:textId="77777777" w:rsidR="00B66EBE" w:rsidRPr="00B66EBE" w:rsidRDefault="00B66EBE" w:rsidP="00B66EBE">
      <w:pPr>
        <w:spacing w:before="0" w:after="0" w:line="259" w:lineRule="auto"/>
        <w:rPr>
          <w:rFonts w:cs="Arial"/>
        </w:rPr>
      </w:pPr>
      <w:r w:rsidRPr="00B66EBE">
        <w:rPr>
          <w:rFonts w:cs="Arial"/>
        </w:rPr>
        <w:t>Non-medical prescribers working in GP practice may issue repeat prescriptions in line with local guidance and best practice.  NMPs should ensure patients have regular medication reviews before issuing a prescription and in every case be satisfied that it is safe and appropriate to do so.</w:t>
      </w:r>
    </w:p>
    <w:p w14:paraId="1F007676" w14:textId="77777777" w:rsidR="00B66EBE" w:rsidRPr="00B66EBE" w:rsidRDefault="00B66EBE" w:rsidP="00B66EBE">
      <w:pPr>
        <w:spacing w:before="0" w:after="0" w:line="259" w:lineRule="auto"/>
        <w:rPr>
          <w:rFonts w:cs="Arial"/>
        </w:rPr>
      </w:pPr>
    </w:p>
    <w:p w14:paraId="6FCD44E9" w14:textId="77777777" w:rsidR="00B66EBE" w:rsidRPr="00B66EBE" w:rsidRDefault="00B66EBE" w:rsidP="00B66EBE">
      <w:pPr>
        <w:spacing w:before="0" w:after="0" w:line="259" w:lineRule="auto"/>
        <w:rPr>
          <w:rFonts w:cs="Arial"/>
        </w:rPr>
      </w:pPr>
      <w:r w:rsidRPr="00B66EBE">
        <w:rPr>
          <w:rFonts w:cs="Arial"/>
        </w:rPr>
        <w:t>NMPs are professionally accountable for prescriptions they sign and therefore must endure that any repeat prescription they sign:</w:t>
      </w:r>
    </w:p>
    <w:p w14:paraId="30D999C1" w14:textId="77777777" w:rsidR="00B66EBE" w:rsidRPr="00B66EBE" w:rsidRDefault="00B66EBE" w:rsidP="004A15C9">
      <w:pPr>
        <w:numPr>
          <w:ilvl w:val="0"/>
          <w:numId w:val="22"/>
        </w:numPr>
        <w:spacing w:before="0" w:after="0" w:line="259" w:lineRule="auto"/>
        <w:rPr>
          <w:rFonts w:cs="Arial"/>
        </w:rPr>
      </w:pPr>
      <w:r w:rsidRPr="00B66EBE">
        <w:rPr>
          <w:rFonts w:cs="Arial"/>
        </w:rPr>
        <w:t>Is safe and appropriate, regularly reviewed and only re-issued to meet an identified clinical need</w:t>
      </w:r>
    </w:p>
    <w:p w14:paraId="26EC4560" w14:textId="77777777" w:rsidR="00B66EBE" w:rsidRPr="00B66EBE" w:rsidRDefault="00B66EBE" w:rsidP="004A15C9">
      <w:pPr>
        <w:numPr>
          <w:ilvl w:val="0"/>
          <w:numId w:val="22"/>
        </w:numPr>
        <w:spacing w:before="0" w:after="0" w:line="259" w:lineRule="auto"/>
        <w:rPr>
          <w:rFonts w:cs="Arial"/>
        </w:rPr>
      </w:pPr>
      <w:r w:rsidRPr="00B66EBE">
        <w:rPr>
          <w:rFonts w:cs="Arial"/>
        </w:rPr>
        <w:t>They have followed appropriate relevant procedures</w:t>
      </w:r>
    </w:p>
    <w:p w14:paraId="512E398F" w14:textId="77777777" w:rsidR="00B66EBE" w:rsidRPr="00B66EBE" w:rsidRDefault="00B66EBE" w:rsidP="004A15C9">
      <w:pPr>
        <w:numPr>
          <w:ilvl w:val="0"/>
          <w:numId w:val="22"/>
        </w:numPr>
        <w:spacing w:before="0" w:after="0" w:line="259" w:lineRule="auto"/>
        <w:rPr>
          <w:rFonts w:cs="Arial"/>
        </w:rPr>
      </w:pPr>
      <w:r w:rsidRPr="00B66EBE">
        <w:rPr>
          <w:rFonts w:cs="Arial"/>
        </w:rPr>
        <w:t xml:space="preserve">Do not include Schedule 2 and 3 Controlled Drugs as these are not safe to </w:t>
      </w:r>
      <w:r w:rsidR="00EA0976" w:rsidRPr="00B66EBE">
        <w:rPr>
          <w:rFonts w:cs="Arial"/>
        </w:rPr>
        <w:t>be issued</w:t>
      </w:r>
      <w:r w:rsidRPr="00B66EBE">
        <w:rPr>
          <w:rFonts w:cs="Arial"/>
        </w:rPr>
        <w:t xml:space="preserve"> as repeats</w:t>
      </w:r>
    </w:p>
    <w:p w14:paraId="7562F9F0" w14:textId="77777777" w:rsidR="00B66EBE" w:rsidRPr="00B66EBE" w:rsidRDefault="00B66EBE" w:rsidP="00B66EBE">
      <w:pPr>
        <w:spacing w:before="0" w:after="0" w:line="259" w:lineRule="auto"/>
        <w:rPr>
          <w:rFonts w:cs="Arial"/>
        </w:rPr>
      </w:pPr>
    </w:p>
    <w:p w14:paraId="711B67F7" w14:textId="77777777" w:rsidR="00B66EBE" w:rsidRPr="00B66EBE" w:rsidRDefault="00B66EBE" w:rsidP="00B66EBE">
      <w:pPr>
        <w:spacing w:before="0" w:after="0" w:line="259" w:lineRule="auto"/>
        <w:rPr>
          <w:rFonts w:cs="Arial"/>
        </w:rPr>
      </w:pPr>
      <w:r w:rsidRPr="00B66EBE">
        <w:rPr>
          <w:rFonts w:cs="Arial"/>
        </w:rPr>
        <w:t>Supplementary prescribers need to review and prescribe in line the clinical management plan.  The patient should be seen by the independent prescriber at least once every 12 months, or at intervals specified within the clinical management plan.</w:t>
      </w:r>
    </w:p>
    <w:p w14:paraId="437071A1" w14:textId="77777777" w:rsidR="00927B7A" w:rsidRDefault="00927B7A" w:rsidP="00407AF6">
      <w:pPr>
        <w:spacing w:before="0" w:after="0" w:line="259" w:lineRule="auto"/>
        <w:rPr>
          <w:rFonts w:cs="Arial"/>
        </w:rPr>
      </w:pPr>
    </w:p>
    <w:p w14:paraId="4BC413EA" w14:textId="77777777" w:rsidR="00F912D0" w:rsidRPr="0070797B" w:rsidRDefault="00F912D0" w:rsidP="00644D19">
      <w:pPr>
        <w:pStyle w:val="Heading2"/>
        <w:jc w:val="left"/>
        <w:rPr>
          <w:color w:val="2F5496"/>
        </w:rPr>
      </w:pPr>
      <w:bookmarkStart w:id="47" w:name="_Toc39152539"/>
      <w:bookmarkStart w:id="48" w:name="_Toc46843663"/>
      <w:r w:rsidRPr="0070797B">
        <w:rPr>
          <w:color w:val="2F5496"/>
        </w:rPr>
        <w:t>8.8 Private Prescriptions</w:t>
      </w:r>
      <w:bookmarkEnd w:id="47"/>
      <w:bookmarkEnd w:id="48"/>
    </w:p>
    <w:p w14:paraId="3C3CDD76" w14:textId="77777777" w:rsidR="00F912D0" w:rsidRDefault="00F912D0" w:rsidP="00F912D0">
      <w:pPr>
        <w:spacing w:before="0" w:after="0" w:line="259" w:lineRule="auto"/>
        <w:rPr>
          <w:rFonts w:cs="Arial"/>
          <w:bCs/>
        </w:rPr>
      </w:pPr>
      <w:r w:rsidRPr="00F912D0">
        <w:rPr>
          <w:rFonts w:cs="Arial"/>
          <w:bCs/>
        </w:rPr>
        <w:t>NMPs</w:t>
      </w:r>
      <w:r w:rsidRPr="00F912D0">
        <w:rPr>
          <w:rFonts w:cs="Arial"/>
        </w:rPr>
        <w:t xml:space="preserve"> may issue private prescriptions for any licensed medicines that they are competent to prescribe in line with their scope of practice and current regulations. </w:t>
      </w:r>
      <w:r w:rsidRPr="00F912D0">
        <w:rPr>
          <w:rFonts w:cs="Arial"/>
          <w:bCs/>
        </w:rPr>
        <w:t xml:space="preserve">There is specific guidance for issuing private prescriptions for Controlled Drugs. </w:t>
      </w:r>
    </w:p>
    <w:p w14:paraId="0608CF76" w14:textId="77777777" w:rsidR="00F912D0" w:rsidRPr="00F912D0" w:rsidRDefault="00644D19" w:rsidP="00F912D0">
      <w:pPr>
        <w:spacing w:before="0" w:after="0" w:line="259" w:lineRule="auto"/>
        <w:rPr>
          <w:rFonts w:cs="Arial"/>
          <w:bCs/>
        </w:rPr>
      </w:pPr>
      <w:r>
        <w:rPr>
          <w:rFonts w:cs="Arial"/>
          <w:bCs/>
        </w:rPr>
        <w:br w:type="page"/>
      </w:r>
    </w:p>
    <w:p w14:paraId="1B0BA24F" w14:textId="77777777" w:rsidR="00F912D0" w:rsidRPr="00F912D0" w:rsidRDefault="00F912D0" w:rsidP="00F912D0">
      <w:pPr>
        <w:spacing w:before="0" w:after="0" w:line="259" w:lineRule="auto"/>
        <w:rPr>
          <w:rFonts w:cs="Arial"/>
          <w:bCs/>
        </w:rPr>
      </w:pPr>
      <w:r w:rsidRPr="00F912D0">
        <w:rPr>
          <w:rFonts w:cs="Arial"/>
          <w:bCs/>
        </w:rPr>
        <w:lastRenderedPageBreak/>
        <w:t>All the above requirements apply, in addition to the following:</w:t>
      </w:r>
    </w:p>
    <w:p w14:paraId="285E6C45" w14:textId="77777777" w:rsidR="00F912D0" w:rsidRDefault="00F912D0" w:rsidP="004A15C9">
      <w:pPr>
        <w:numPr>
          <w:ilvl w:val="0"/>
          <w:numId w:val="23"/>
        </w:numPr>
        <w:spacing w:before="0" w:after="0" w:line="259" w:lineRule="auto"/>
        <w:rPr>
          <w:rFonts w:cs="Arial"/>
          <w:bCs/>
        </w:rPr>
      </w:pPr>
      <w:r w:rsidRPr="00F912D0">
        <w:rPr>
          <w:rFonts w:cs="Arial"/>
          <w:bCs/>
        </w:rPr>
        <w:t>Private prescriptions for Schedule 2 and 3 controlled drugs must be on the appropriate standardise</w:t>
      </w:r>
      <w:r w:rsidRPr="00F912D0">
        <w:rPr>
          <w:rFonts w:cs="Arial"/>
        </w:rPr>
        <w:t xml:space="preserve"> </w:t>
      </w:r>
      <w:r w:rsidRPr="00F912D0">
        <w:rPr>
          <w:rFonts w:cs="Arial"/>
          <w:bCs/>
        </w:rPr>
        <w:t xml:space="preserve">Prescription form </w:t>
      </w:r>
    </w:p>
    <w:p w14:paraId="496C560D" w14:textId="77777777" w:rsidR="00F912D0" w:rsidRPr="00F912D0" w:rsidRDefault="00F912D0" w:rsidP="00F912D0">
      <w:pPr>
        <w:spacing w:before="0" w:after="0" w:line="259" w:lineRule="auto"/>
        <w:ind w:left="720"/>
        <w:rPr>
          <w:rFonts w:cs="Arial"/>
          <w:bCs/>
        </w:rPr>
      </w:pPr>
    </w:p>
    <w:p w14:paraId="5C2E1965" w14:textId="77777777" w:rsidR="00F912D0" w:rsidRPr="00F912D0" w:rsidRDefault="00F912D0" w:rsidP="004A15C9">
      <w:pPr>
        <w:numPr>
          <w:ilvl w:val="0"/>
          <w:numId w:val="23"/>
        </w:numPr>
        <w:spacing w:before="0" w:after="0" w:line="259" w:lineRule="auto"/>
        <w:rPr>
          <w:rFonts w:cs="Arial"/>
          <w:bCs/>
        </w:rPr>
      </w:pPr>
      <w:r w:rsidRPr="00F912D0">
        <w:rPr>
          <w:rFonts w:cs="Arial"/>
          <w:bCs/>
        </w:rPr>
        <w:t xml:space="preserve">Prescriber identification number must be included on the standardised private prescription form which is different to their professional registration number (it’s not their GMC, GDC, </w:t>
      </w:r>
      <w:proofErr w:type="spellStart"/>
      <w:r w:rsidRPr="00F912D0">
        <w:rPr>
          <w:rFonts w:cs="Arial"/>
          <w:bCs/>
        </w:rPr>
        <w:t>GPhC</w:t>
      </w:r>
      <w:proofErr w:type="spellEnd"/>
      <w:r w:rsidRPr="00F912D0">
        <w:rPr>
          <w:rFonts w:cs="Arial"/>
          <w:bCs/>
        </w:rPr>
        <w:t>, NMC number). This number is issued by the relevant NHS agency</w:t>
      </w:r>
      <w:r>
        <w:rPr>
          <w:rFonts w:cs="Arial"/>
          <w:bCs/>
        </w:rPr>
        <w:t>.</w:t>
      </w:r>
    </w:p>
    <w:p w14:paraId="6F912E60" w14:textId="77777777" w:rsidR="00F912D0" w:rsidRDefault="00F912D0" w:rsidP="00407AF6">
      <w:pPr>
        <w:spacing w:before="0" w:after="0" w:line="259" w:lineRule="auto"/>
        <w:rPr>
          <w:rFonts w:cs="Arial"/>
        </w:rPr>
      </w:pPr>
    </w:p>
    <w:p w14:paraId="2FAD0E4A" w14:textId="77777777" w:rsidR="00F912D0" w:rsidRDefault="00F912D0" w:rsidP="00407AF6">
      <w:pPr>
        <w:spacing w:before="0" w:after="0" w:line="259" w:lineRule="auto"/>
        <w:rPr>
          <w:rFonts w:cs="Arial"/>
        </w:rPr>
      </w:pPr>
    </w:p>
    <w:p w14:paraId="1D09F8A3" w14:textId="77777777" w:rsidR="00F912D0" w:rsidRPr="0070797B" w:rsidRDefault="00F912D0" w:rsidP="00644D19">
      <w:pPr>
        <w:pStyle w:val="Heading2"/>
        <w:jc w:val="left"/>
        <w:rPr>
          <w:color w:val="2F5496"/>
        </w:rPr>
      </w:pPr>
      <w:bookmarkStart w:id="49" w:name="_Toc46843664"/>
      <w:r w:rsidRPr="0070797B">
        <w:rPr>
          <w:color w:val="2F5496"/>
        </w:rPr>
        <w:t>8.9 Prescribing for Self, Family, Friends and Colleagues</w:t>
      </w:r>
      <w:bookmarkEnd w:id="49"/>
      <w:r w:rsidRPr="0070797B">
        <w:rPr>
          <w:color w:val="2F5496"/>
        </w:rPr>
        <w:t xml:space="preserve"> </w:t>
      </w:r>
    </w:p>
    <w:p w14:paraId="22945132" w14:textId="77777777" w:rsidR="00F912D0" w:rsidRDefault="00F912D0" w:rsidP="00F912D0">
      <w:pPr>
        <w:spacing w:before="0" w:after="0" w:line="259" w:lineRule="auto"/>
        <w:rPr>
          <w:rFonts w:cs="Arial"/>
        </w:rPr>
      </w:pPr>
      <w:r w:rsidRPr="00F912D0">
        <w:rPr>
          <w:rFonts w:cs="Arial"/>
        </w:rPr>
        <w:t>It is strongly advised that Non-Medical Prescribers should avoid prescribing for themselves or anyone with whom they have a close personal or emotional relationship, other than in exceptional circumstances. Further advice must be sought from the relevant professional regulatory body.</w:t>
      </w:r>
    </w:p>
    <w:p w14:paraId="2EFBA5AF" w14:textId="77777777" w:rsidR="00F912D0" w:rsidRPr="00F912D0" w:rsidRDefault="00F912D0" w:rsidP="00F912D0">
      <w:pPr>
        <w:spacing w:before="0" w:after="0" w:line="259" w:lineRule="auto"/>
        <w:rPr>
          <w:rFonts w:cs="Arial"/>
        </w:rPr>
      </w:pPr>
    </w:p>
    <w:p w14:paraId="070FFF19" w14:textId="77777777" w:rsidR="00F912D0" w:rsidRDefault="00F912D0" w:rsidP="00F912D0">
      <w:pPr>
        <w:spacing w:before="0" w:after="0" w:line="259" w:lineRule="auto"/>
        <w:rPr>
          <w:rFonts w:cs="Arial"/>
        </w:rPr>
      </w:pPr>
      <w:r w:rsidRPr="00F912D0">
        <w:rPr>
          <w:rFonts w:cs="Arial"/>
        </w:rPr>
        <w:t>Where it is necessary to prescribe for friends, family or colleagues this should only be undertaken in the context of that the friend, relative or colleague is being seen in a professional capacity e.g. where a friend, family or colleague is also a registered patient.</w:t>
      </w:r>
    </w:p>
    <w:p w14:paraId="0BBA115E" w14:textId="77777777" w:rsidR="00DB6C18" w:rsidRDefault="00DB6C18" w:rsidP="00F912D0">
      <w:pPr>
        <w:spacing w:before="0" w:after="0" w:line="259" w:lineRule="auto"/>
        <w:rPr>
          <w:rFonts w:cs="Arial"/>
        </w:rPr>
      </w:pPr>
    </w:p>
    <w:p w14:paraId="7C38E7DC" w14:textId="77777777" w:rsidR="00DB6C18" w:rsidRDefault="00DB6C18" w:rsidP="00F912D0">
      <w:pPr>
        <w:spacing w:before="0" w:after="0" w:line="259" w:lineRule="auto"/>
        <w:rPr>
          <w:rFonts w:cs="Arial"/>
        </w:rPr>
      </w:pPr>
    </w:p>
    <w:p w14:paraId="2E23E347" w14:textId="77777777" w:rsidR="00DB6C18" w:rsidRPr="00DF672D" w:rsidRDefault="005D07F7" w:rsidP="00DB6C18">
      <w:pPr>
        <w:pStyle w:val="Heading1"/>
        <w:jc w:val="left"/>
        <w:rPr>
          <w:color w:val="2F5496"/>
        </w:rPr>
      </w:pPr>
      <w:bookmarkStart w:id="50" w:name="_Toc39152541"/>
      <w:bookmarkStart w:id="51" w:name="_Toc46843665"/>
      <w:r>
        <w:rPr>
          <w:color w:val="2F5496"/>
        </w:rPr>
        <w:t>9.0</w:t>
      </w:r>
      <w:r w:rsidR="00DB6C18" w:rsidRPr="00DF672D">
        <w:rPr>
          <w:color w:val="2F5496"/>
        </w:rPr>
        <w:t xml:space="preserve"> Adverse Drug reactions</w:t>
      </w:r>
      <w:bookmarkEnd w:id="50"/>
      <w:bookmarkEnd w:id="51"/>
    </w:p>
    <w:p w14:paraId="31D2D41D" w14:textId="77777777" w:rsidR="00DB6C18" w:rsidRDefault="00DB6C18" w:rsidP="00DB6C18">
      <w:pPr>
        <w:spacing w:before="0" w:after="0" w:line="259" w:lineRule="auto"/>
        <w:rPr>
          <w:rFonts w:cs="Arial"/>
        </w:rPr>
      </w:pPr>
      <w:r w:rsidRPr="00DB6C18">
        <w:rPr>
          <w:rFonts w:cs="Arial"/>
        </w:rPr>
        <w:t xml:space="preserve">If </w:t>
      </w:r>
      <w:proofErr w:type="gramStart"/>
      <w:r w:rsidRPr="00DB6C18">
        <w:rPr>
          <w:rFonts w:cs="Arial"/>
        </w:rPr>
        <w:t>a</w:t>
      </w:r>
      <w:proofErr w:type="gramEnd"/>
      <w:r w:rsidRPr="00DB6C18">
        <w:rPr>
          <w:rFonts w:cs="Arial"/>
        </w:rPr>
        <w:t xml:space="preserve"> NMP suspects that a patient is/has experienced an adverse drug reaction (ADR) to a prescription only medicine (POM), over the counter (GSL), pharmacy only (P</w:t>
      </w:r>
      <w:r w:rsidRPr="00DB6C18">
        <w:rPr>
          <w:rFonts w:cs="Arial"/>
          <w:bCs/>
        </w:rPr>
        <w:t>),</w:t>
      </w:r>
      <w:r w:rsidRPr="00DB6C18">
        <w:rPr>
          <w:rFonts w:cs="Arial"/>
        </w:rPr>
        <w:t xml:space="preserve"> herbal medicine or combination of medicines</w:t>
      </w:r>
      <w:r w:rsidRPr="00DB6C18">
        <w:rPr>
          <w:rFonts w:cs="Arial"/>
          <w:bCs/>
        </w:rPr>
        <w:t>,</w:t>
      </w:r>
      <w:r w:rsidRPr="00DB6C18">
        <w:rPr>
          <w:rFonts w:cs="Arial"/>
        </w:rPr>
        <w:t xml:space="preserve"> they should inform the GP responsible fo</w:t>
      </w:r>
      <w:r w:rsidR="00AB39D7">
        <w:rPr>
          <w:rFonts w:cs="Arial"/>
        </w:rPr>
        <w:t>r the patient’s continuing care.</w:t>
      </w:r>
    </w:p>
    <w:p w14:paraId="002034A8" w14:textId="77777777" w:rsidR="00AB39D7" w:rsidRPr="00DB6C18" w:rsidRDefault="00AB39D7" w:rsidP="00DB6C18">
      <w:pPr>
        <w:spacing w:before="0" w:after="0" w:line="259" w:lineRule="auto"/>
        <w:rPr>
          <w:rFonts w:cs="Arial"/>
        </w:rPr>
      </w:pPr>
    </w:p>
    <w:p w14:paraId="6E90B585" w14:textId="77777777" w:rsidR="00DB6C18" w:rsidRPr="00DB6C18" w:rsidRDefault="00DB6C18" w:rsidP="00DB6C18">
      <w:pPr>
        <w:spacing w:before="0" w:after="0" w:line="259" w:lineRule="auto"/>
        <w:rPr>
          <w:rFonts w:cs="Arial"/>
        </w:rPr>
      </w:pPr>
      <w:r w:rsidRPr="00DB6C18">
        <w:rPr>
          <w:rFonts w:cs="Arial"/>
        </w:rPr>
        <w:t xml:space="preserve">The NMP should evaluate the suspected adverse drug reaction(s) in accordance with the guidance issued by the Committee on Safety of Medicines </w:t>
      </w:r>
      <w:r w:rsidRPr="00DB6C18">
        <w:rPr>
          <w:rFonts w:cs="Arial"/>
          <w:bCs/>
        </w:rPr>
        <w:t xml:space="preserve">(CSM) </w:t>
      </w:r>
      <w:r w:rsidRPr="00DB6C18">
        <w:rPr>
          <w:rFonts w:cs="Arial"/>
        </w:rPr>
        <w:t>and decide if he/she needs</w:t>
      </w:r>
      <w:r w:rsidRPr="00DB6C18">
        <w:rPr>
          <w:rFonts w:cs="Arial"/>
          <w:bCs/>
        </w:rPr>
        <w:t xml:space="preserve"> to</w:t>
      </w:r>
      <w:r w:rsidRPr="00DB6C18">
        <w:rPr>
          <w:rFonts w:cs="Arial"/>
        </w:rPr>
        <w:t xml:space="preserve"> complete a “Yellow Card” to notify the CSM of a suspected adverse drug reaction. Hard copies of the form can be found at the back of the BNF, electronic copies can be found at </w:t>
      </w:r>
      <w:hyperlink r:id="rId47" w:history="1">
        <w:r w:rsidR="00385BEE">
          <w:rPr>
            <w:rStyle w:val="Hyperlink"/>
          </w:rPr>
          <w:t>https://yellowcard.mhra.gov.uk/</w:t>
        </w:r>
      </w:hyperlink>
      <w:r w:rsidR="00385BEE">
        <w:rPr>
          <w:rFonts w:cs="Arial"/>
          <w:bCs/>
          <w:vertAlign w:val="superscript"/>
        </w:rPr>
        <w:t>23</w:t>
      </w:r>
      <w:r w:rsidR="00AB39D7">
        <w:rPr>
          <w:rFonts w:cs="Arial"/>
          <w:bCs/>
        </w:rPr>
        <w:t xml:space="preserve"> </w:t>
      </w:r>
    </w:p>
    <w:p w14:paraId="40909AC4" w14:textId="77777777" w:rsidR="00AB39D7" w:rsidRDefault="00AB39D7" w:rsidP="00DB6C18">
      <w:pPr>
        <w:spacing w:before="0" w:after="0" w:line="259" w:lineRule="auto"/>
        <w:rPr>
          <w:rFonts w:cs="Arial"/>
        </w:rPr>
      </w:pPr>
    </w:p>
    <w:p w14:paraId="068E2534" w14:textId="77777777" w:rsidR="00DB6C18" w:rsidRDefault="00DB6C18" w:rsidP="00DB6C18">
      <w:pPr>
        <w:spacing w:before="0" w:after="0" w:line="259" w:lineRule="auto"/>
        <w:rPr>
          <w:rFonts w:cs="Arial"/>
          <w:bCs/>
        </w:rPr>
      </w:pPr>
      <w:r w:rsidRPr="00DB6C18">
        <w:rPr>
          <w:rFonts w:cs="Arial"/>
        </w:rPr>
        <w:t xml:space="preserve">If an appliance or dressing is involved in an adverse incident then it must be reported to the </w:t>
      </w:r>
      <w:r w:rsidRPr="00DB6C18">
        <w:rPr>
          <w:rFonts w:cs="Arial"/>
          <w:bCs/>
        </w:rPr>
        <w:t>Medicines &amp; Healthcare products Regulatory Agency (MHRA).</w:t>
      </w:r>
    </w:p>
    <w:p w14:paraId="1635E0C2" w14:textId="77777777" w:rsidR="00681E74" w:rsidRDefault="00681E74" w:rsidP="00DB6C18">
      <w:pPr>
        <w:spacing w:before="0" w:after="0" w:line="259" w:lineRule="auto"/>
        <w:rPr>
          <w:rFonts w:cs="Arial"/>
          <w:bCs/>
        </w:rPr>
      </w:pPr>
    </w:p>
    <w:p w14:paraId="2BFC340A" w14:textId="77777777" w:rsidR="00681E74" w:rsidRDefault="00681E74" w:rsidP="00681E74">
      <w:pPr>
        <w:spacing w:before="0" w:after="0" w:line="259" w:lineRule="auto"/>
        <w:rPr>
          <w:rFonts w:cs="Arial"/>
          <w:b/>
          <w:bCs/>
        </w:rPr>
      </w:pPr>
      <w:bookmarkStart w:id="52" w:name="_Toc39152542"/>
    </w:p>
    <w:p w14:paraId="05653B01" w14:textId="77777777" w:rsidR="00681E74" w:rsidRPr="005902C6" w:rsidRDefault="00681E74" w:rsidP="00681E74">
      <w:pPr>
        <w:pStyle w:val="Heading1"/>
        <w:jc w:val="left"/>
        <w:rPr>
          <w:color w:val="2F5496"/>
        </w:rPr>
      </w:pPr>
      <w:bookmarkStart w:id="53" w:name="_Toc46843666"/>
      <w:r w:rsidRPr="005902C6">
        <w:rPr>
          <w:color w:val="2F5496"/>
        </w:rPr>
        <w:t>10.</w:t>
      </w:r>
      <w:r w:rsidR="005D07F7">
        <w:rPr>
          <w:color w:val="2F5496"/>
        </w:rPr>
        <w:t>0</w:t>
      </w:r>
      <w:r w:rsidRPr="005902C6">
        <w:rPr>
          <w:color w:val="2F5496"/>
        </w:rPr>
        <w:t xml:space="preserve"> Incidents</w:t>
      </w:r>
      <w:bookmarkEnd w:id="52"/>
      <w:bookmarkEnd w:id="53"/>
    </w:p>
    <w:p w14:paraId="179540E6" w14:textId="77777777" w:rsidR="00681E74" w:rsidRDefault="00681E74" w:rsidP="00681E74">
      <w:pPr>
        <w:spacing w:before="0" w:after="0" w:line="259" w:lineRule="auto"/>
        <w:rPr>
          <w:rFonts w:cs="Arial"/>
        </w:rPr>
      </w:pPr>
      <w:r w:rsidRPr="00681E74">
        <w:rPr>
          <w:rFonts w:cs="Arial"/>
        </w:rPr>
        <w:t xml:space="preserve">NMPs must report all prescribing errors and serious incidents in line with their employing organisation’s in policy and to the Medicines Optimisation Team. </w:t>
      </w:r>
    </w:p>
    <w:p w14:paraId="53E77F7C" w14:textId="77777777" w:rsidR="00681E74" w:rsidRDefault="00681E74" w:rsidP="00681E74">
      <w:pPr>
        <w:spacing w:before="0" w:after="0" w:line="259" w:lineRule="auto"/>
        <w:rPr>
          <w:rFonts w:cs="Arial"/>
        </w:rPr>
      </w:pPr>
    </w:p>
    <w:p w14:paraId="7312A045" w14:textId="77777777" w:rsidR="00681E74" w:rsidRPr="005902C6" w:rsidRDefault="00681E74" w:rsidP="00681E74">
      <w:pPr>
        <w:pStyle w:val="Heading1"/>
        <w:jc w:val="left"/>
        <w:rPr>
          <w:color w:val="2F5496"/>
        </w:rPr>
      </w:pPr>
      <w:bookmarkStart w:id="54" w:name="_Toc46843667"/>
      <w:r w:rsidRPr="005902C6">
        <w:rPr>
          <w:color w:val="2F5496"/>
        </w:rPr>
        <w:t>11.0 Security and Safe Handling of Prescription Forms</w:t>
      </w:r>
      <w:bookmarkEnd w:id="54"/>
    </w:p>
    <w:p w14:paraId="2C9B6A4F" w14:textId="77777777" w:rsidR="00681E74" w:rsidRPr="00681E74" w:rsidRDefault="00681E74" w:rsidP="00681E74">
      <w:pPr>
        <w:spacing w:before="0" w:after="0" w:line="259" w:lineRule="auto"/>
        <w:rPr>
          <w:rFonts w:cs="Arial"/>
        </w:rPr>
      </w:pPr>
      <w:r w:rsidRPr="00681E74">
        <w:rPr>
          <w:rFonts w:cs="Arial"/>
        </w:rPr>
        <w:t>(Refer to Safe Custody Guidance of Prescriptions in primary care on GP Portal)</w:t>
      </w:r>
    </w:p>
    <w:p w14:paraId="614A1A43" w14:textId="77777777" w:rsidR="00681E74" w:rsidRDefault="00681E74" w:rsidP="00681E74">
      <w:pPr>
        <w:spacing w:before="0" w:after="0" w:line="259" w:lineRule="auto"/>
        <w:rPr>
          <w:rFonts w:cs="Arial"/>
        </w:rPr>
      </w:pPr>
    </w:p>
    <w:p w14:paraId="72DE53B4" w14:textId="77777777" w:rsidR="00681E74" w:rsidRPr="00681E74" w:rsidRDefault="00681E74" w:rsidP="00681E74">
      <w:pPr>
        <w:spacing w:before="0" w:after="0" w:line="259" w:lineRule="auto"/>
        <w:rPr>
          <w:rFonts w:cs="Arial"/>
        </w:rPr>
      </w:pPr>
      <w:r w:rsidRPr="00681E74">
        <w:rPr>
          <w:rFonts w:cs="Arial"/>
        </w:rPr>
        <w:t>FP10 prescription forms are controlled stationary and must be kept securely to prevent their loss and fraudulent use by members of the public seeking access to certain medicines liable to misuse e.g. opioids, benzodiazepines and hypnotics. It is therefore vital that Practices, services and Non-Medical prescribers keep a log of serial numbers of prescription forms. This can be done by recording the first and last serial numbers of the pad or box/reel for forms to be used. These records should be kept for a period of three years.</w:t>
      </w:r>
    </w:p>
    <w:p w14:paraId="563E18A6" w14:textId="77777777" w:rsidR="00681E74" w:rsidRDefault="00681E74" w:rsidP="00681E74">
      <w:pPr>
        <w:spacing w:before="0" w:after="0" w:line="259" w:lineRule="auto"/>
        <w:rPr>
          <w:rFonts w:cs="Arial"/>
        </w:rPr>
      </w:pPr>
    </w:p>
    <w:p w14:paraId="274486AD" w14:textId="77777777" w:rsidR="00021CBD" w:rsidRDefault="00021CBD" w:rsidP="00681E74">
      <w:pPr>
        <w:spacing w:before="0" w:after="0" w:line="259" w:lineRule="auto"/>
        <w:rPr>
          <w:rFonts w:cs="Arial"/>
        </w:rPr>
      </w:pPr>
    </w:p>
    <w:p w14:paraId="0AEF63AE" w14:textId="77777777" w:rsidR="00681E74" w:rsidRPr="00681E74" w:rsidRDefault="00681E74" w:rsidP="00681E74">
      <w:pPr>
        <w:spacing w:before="0" w:after="0" w:line="259" w:lineRule="auto"/>
        <w:rPr>
          <w:rFonts w:cs="Arial"/>
        </w:rPr>
      </w:pPr>
      <w:r w:rsidRPr="00681E74">
        <w:rPr>
          <w:rFonts w:cs="Arial"/>
        </w:rPr>
        <w:lastRenderedPageBreak/>
        <w:t>Prescriptions should NEVER be left unattended in a car overnight.</w:t>
      </w:r>
    </w:p>
    <w:p w14:paraId="1CCFD2F8" w14:textId="77777777" w:rsidR="00681E74" w:rsidRDefault="00681E74" w:rsidP="00681E74">
      <w:pPr>
        <w:spacing w:before="0" w:after="0" w:line="259" w:lineRule="auto"/>
        <w:rPr>
          <w:rFonts w:cs="Arial"/>
        </w:rPr>
      </w:pPr>
    </w:p>
    <w:p w14:paraId="6BDD35E1" w14:textId="77777777" w:rsidR="00681E74" w:rsidRPr="00681E74" w:rsidRDefault="00681E74" w:rsidP="00681E74">
      <w:pPr>
        <w:spacing w:before="0" w:after="0" w:line="259" w:lineRule="auto"/>
        <w:rPr>
          <w:rFonts w:cs="Arial"/>
        </w:rPr>
      </w:pPr>
      <w:r w:rsidRPr="00681E74">
        <w:rPr>
          <w:rFonts w:cs="Arial"/>
        </w:rPr>
        <w:t>Patients, temporary staff and visitors should not be left alone with prescription forms or allowed in secure areas where the forms are stored.</w:t>
      </w:r>
    </w:p>
    <w:p w14:paraId="2068E503" w14:textId="77777777" w:rsidR="00681E74" w:rsidRDefault="00681E74" w:rsidP="00681E74">
      <w:pPr>
        <w:spacing w:before="0" w:after="0" w:line="259" w:lineRule="auto"/>
        <w:rPr>
          <w:rFonts w:cs="Arial"/>
        </w:rPr>
      </w:pPr>
    </w:p>
    <w:p w14:paraId="732669B2" w14:textId="77777777" w:rsidR="00681E74" w:rsidRDefault="00681E74" w:rsidP="00681E74">
      <w:pPr>
        <w:spacing w:before="0" w:after="0" w:line="259" w:lineRule="auto"/>
        <w:rPr>
          <w:rFonts w:cs="Arial"/>
        </w:rPr>
      </w:pPr>
    </w:p>
    <w:p w14:paraId="23B1C80E" w14:textId="77777777" w:rsidR="00681E74" w:rsidRPr="00681E74" w:rsidRDefault="00681E74" w:rsidP="00681E74">
      <w:pPr>
        <w:spacing w:before="0" w:after="0" w:line="259" w:lineRule="auto"/>
        <w:rPr>
          <w:rFonts w:cs="Arial"/>
        </w:rPr>
      </w:pPr>
      <w:r w:rsidRPr="00681E74">
        <w:rPr>
          <w:rFonts w:cs="Arial"/>
        </w:rPr>
        <w:t>All prescriptions requiring amendment or corrections should be counter signed and dated to confirm the change is genuine.</w:t>
      </w:r>
    </w:p>
    <w:p w14:paraId="76547442" w14:textId="77777777" w:rsidR="00681E74" w:rsidRDefault="00681E74" w:rsidP="00681E74">
      <w:pPr>
        <w:spacing w:before="0" w:after="0" w:line="259" w:lineRule="auto"/>
        <w:rPr>
          <w:rFonts w:cs="Arial"/>
        </w:rPr>
      </w:pPr>
    </w:p>
    <w:p w14:paraId="20FD0A81" w14:textId="77777777" w:rsidR="00681E74" w:rsidRPr="00681E74" w:rsidRDefault="00681E74" w:rsidP="00681E74">
      <w:pPr>
        <w:spacing w:before="0" w:after="0" w:line="259" w:lineRule="auto"/>
        <w:rPr>
          <w:rFonts w:cs="Arial"/>
        </w:rPr>
      </w:pPr>
      <w:r w:rsidRPr="00681E74">
        <w:rPr>
          <w:rFonts w:cs="Arial"/>
        </w:rPr>
        <w:t>All prescriptions that require destruction must be destroyed securely making note of the serial numbers of the prescription(s) and a record must be kept for at least 18 months.</w:t>
      </w:r>
    </w:p>
    <w:p w14:paraId="2688BA87" w14:textId="77777777" w:rsidR="00681E74" w:rsidRDefault="00681E74" w:rsidP="00681E74">
      <w:pPr>
        <w:spacing w:before="0" w:after="0" w:line="259" w:lineRule="auto"/>
        <w:rPr>
          <w:rFonts w:cs="Arial"/>
        </w:rPr>
      </w:pPr>
    </w:p>
    <w:p w14:paraId="66688157" w14:textId="77777777" w:rsidR="00681E74" w:rsidRDefault="00681E74" w:rsidP="00681E74">
      <w:pPr>
        <w:spacing w:before="0" w:after="0" w:line="259" w:lineRule="auto"/>
        <w:rPr>
          <w:rFonts w:cs="Arial"/>
        </w:rPr>
      </w:pPr>
      <w:r w:rsidRPr="00681E74">
        <w:rPr>
          <w:rFonts w:cs="Arial"/>
        </w:rPr>
        <w:t>Where appropriate the MOT should also contact NHS Protect (formerly the Local Counter Fraud team) on 0207 895 4686/020 7895 4571.</w:t>
      </w:r>
    </w:p>
    <w:p w14:paraId="5236DE91" w14:textId="77777777" w:rsidR="00681E74" w:rsidRDefault="00681E74" w:rsidP="00681E74">
      <w:pPr>
        <w:spacing w:before="0" w:after="0" w:line="259" w:lineRule="auto"/>
        <w:rPr>
          <w:rFonts w:cs="Arial"/>
        </w:rPr>
      </w:pPr>
    </w:p>
    <w:p w14:paraId="1E053319" w14:textId="77777777" w:rsidR="00681E74" w:rsidRPr="00681E74" w:rsidRDefault="00681E74" w:rsidP="00681E74">
      <w:pPr>
        <w:spacing w:before="0" w:after="0" w:line="259" w:lineRule="auto"/>
        <w:rPr>
          <w:rFonts w:cs="Arial"/>
          <w:b/>
        </w:rPr>
      </w:pPr>
      <w:r>
        <w:rPr>
          <w:rFonts w:cs="Arial"/>
          <w:b/>
        </w:rPr>
        <w:t>Useful Link:</w:t>
      </w:r>
    </w:p>
    <w:p w14:paraId="4886186E" w14:textId="77777777" w:rsidR="00DB6C18" w:rsidRDefault="00CF2869" w:rsidP="004A15C9">
      <w:pPr>
        <w:numPr>
          <w:ilvl w:val="0"/>
          <w:numId w:val="24"/>
        </w:numPr>
        <w:spacing w:before="0" w:after="0" w:line="259" w:lineRule="auto"/>
        <w:rPr>
          <w:rFonts w:cs="Arial"/>
        </w:rPr>
      </w:pPr>
      <w:hyperlink r:id="rId48" w:anchor="controlPrescriptionForms" w:history="1">
        <w:r w:rsidR="00681E74" w:rsidRPr="00681E74">
          <w:rPr>
            <w:rStyle w:val="Hyperlink"/>
            <w:rFonts w:cs="Arial"/>
          </w:rPr>
          <w:t>NHS Counter Fraud Authority – Management and Control of Prescription Forms: A Guide for Prescribers and Health Organisations</w:t>
        </w:r>
      </w:hyperlink>
      <w:r w:rsidR="008C795A">
        <w:rPr>
          <w:rFonts w:cs="Arial"/>
          <w:vertAlign w:val="superscript"/>
        </w:rPr>
        <w:t>24</w:t>
      </w:r>
    </w:p>
    <w:p w14:paraId="5B63FF56" w14:textId="77777777" w:rsidR="00681E74" w:rsidRDefault="00681E74" w:rsidP="00681E74">
      <w:pPr>
        <w:spacing w:before="0" w:after="0" w:line="259" w:lineRule="auto"/>
        <w:rPr>
          <w:rFonts w:cs="Arial"/>
        </w:rPr>
      </w:pPr>
    </w:p>
    <w:p w14:paraId="26477C1B" w14:textId="77777777" w:rsidR="00681E74" w:rsidRDefault="00681E74" w:rsidP="00681E74">
      <w:pPr>
        <w:spacing w:before="0" w:after="0" w:line="259" w:lineRule="auto"/>
        <w:rPr>
          <w:rFonts w:cs="Arial"/>
        </w:rPr>
      </w:pPr>
    </w:p>
    <w:p w14:paraId="1F70E6EF" w14:textId="77777777" w:rsidR="00681E74" w:rsidRPr="005902C6" w:rsidRDefault="008C795A" w:rsidP="00681E74">
      <w:pPr>
        <w:pStyle w:val="Heading1"/>
        <w:jc w:val="left"/>
        <w:rPr>
          <w:color w:val="2F5496"/>
        </w:rPr>
      </w:pPr>
      <w:bookmarkStart w:id="55" w:name="_Toc39152544"/>
      <w:bookmarkStart w:id="56" w:name="_Toc46843668"/>
      <w:r w:rsidRPr="005902C6">
        <w:rPr>
          <w:color w:val="2F5496"/>
        </w:rPr>
        <w:t>12.</w:t>
      </w:r>
      <w:r>
        <w:rPr>
          <w:color w:val="2F5496"/>
        </w:rPr>
        <w:t>0</w:t>
      </w:r>
      <w:r w:rsidRPr="005902C6">
        <w:rPr>
          <w:color w:val="2F5496"/>
        </w:rPr>
        <w:t xml:space="preserve"> Gifts</w:t>
      </w:r>
      <w:r w:rsidR="00681E74" w:rsidRPr="005902C6">
        <w:rPr>
          <w:color w:val="2F5496"/>
        </w:rPr>
        <w:t xml:space="preserve"> and Benefits - refer to </w:t>
      </w:r>
      <w:r w:rsidR="003B723E">
        <w:rPr>
          <w:color w:val="2F5496"/>
        </w:rPr>
        <w:t>TNW</w:t>
      </w:r>
      <w:r w:rsidR="00681E74" w:rsidRPr="005902C6">
        <w:rPr>
          <w:color w:val="2F5496"/>
        </w:rPr>
        <w:t xml:space="preserve"> policy on Intranet</w:t>
      </w:r>
      <w:bookmarkEnd w:id="55"/>
      <w:bookmarkEnd w:id="56"/>
    </w:p>
    <w:p w14:paraId="49583178" w14:textId="77777777" w:rsidR="00681E74" w:rsidRDefault="00681E74" w:rsidP="00681E74">
      <w:pPr>
        <w:spacing w:before="0" w:after="0" w:line="259" w:lineRule="auto"/>
        <w:rPr>
          <w:rFonts w:cs="Arial"/>
        </w:rPr>
      </w:pPr>
      <w:r w:rsidRPr="00681E74">
        <w:rPr>
          <w:rFonts w:cs="Arial"/>
        </w:rPr>
        <w:t xml:space="preserve">Conflicts of interest should be managed effectively to ensure that decisions involving the use of NHS funds are not influenced by outside interests or private gain. The public rightly expect the highest standards of behaviour in the NHS, as custodians of taxpayers’ money. </w:t>
      </w:r>
    </w:p>
    <w:p w14:paraId="576EAFD8" w14:textId="77777777" w:rsidR="00681E74" w:rsidRPr="00681E74" w:rsidRDefault="00681E74" w:rsidP="00681E74">
      <w:pPr>
        <w:spacing w:before="0" w:after="0" w:line="259" w:lineRule="auto"/>
        <w:rPr>
          <w:rFonts w:cs="Arial"/>
        </w:rPr>
      </w:pPr>
    </w:p>
    <w:p w14:paraId="4C5CD6D9" w14:textId="77777777" w:rsidR="00681E74" w:rsidRPr="00681E74" w:rsidRDefault="00681E74" w:rsidP="00681E74">
      <w:pPr>
        <w:spacing w:before="0" w:after="0" w:line="259" w:lineRule="auto"/>
        <w:rPr>
          <w:rFonts w:cs="Arial"/>
        </w:rPr>
      </w:pPr>
      <w:r w:rsidRPr="00681E74">
        <w:rPr>
          <w:rFonts w:cs="Arial"/>
        </w:rPr>
        <w:t>NHS staff need to be empowered to use good judgement in managing conflicts of interest effectively, and need to be safeguarded so they can continue to work innovatively with partners whilst also providing transparency to the taxpayer.</w:t>
      </w:r>
    </w:p>
    <w:p w14:paraId="20AB1375" w14:textId="77777777" w:rsidR="00681E74" w:rsidRDefault="00681E74" w:rsidP="00681E74">
      <w:pPr>
        <w:spacing w:before="0" w:after="0" w:line="259" w:lineRule="auto"/>
        <w:rPr>
          <w:rFonts w:cs="Arial"/>
          <w:bCs/>
        </w:rPr>
      </w:pPr>
    </w:p>
    <w:p w14:paraId="5E163410" w14:textId="77777777" w:rsidR="00681E74" w:rsidRPr="00681E74" w:rsidRDefault="00681E74" w:rsidP="00681E74">
      <w:pPr>
        <w:spacing w:before="0" w:after="0" w:line="259" w:lineRule="auto"/>
        <w:rPr>
          <w:rFonts w:cs="Arial"/>
          <w:bCs/>
        </w:rPr>
      </w:pPr>
      <w:r w:rsidRPr="00681E74">
        <w:rPr>
          <w:rFonts w:cs="Arial"/>
          <w:bCs/>
        </w:rPr>
        <w:t xml:space="preserve">NHS England published new guidance on </w:t>
      </w:r>
      <w:hyperlink r:id="rId49" w:history="1">
        <w:r w:rsidRPr="00681E74">
          <w:rPr>
            <w:rStyle w:val="Hyperlink"/>
            <w:rFonts w:cs="Arial"/>
          </w:rPr>
          <w:t xml:space="preserve">managing conflicts of interest </w:t>
        </w:r>
      </w:hyperlink>
      <w:r w:rsidRPr="00681E74">
        <w:rPr>
          <w:rFonts w:cs="Arial"/>
          <w:bCs/>
        </w:rPr>
        <w:t xml:space="preserve"> in 2017</w:t>
      </w:r>
      <w:r w:rsidR="008C795A">
        <w:rPr>
          <w:rFonts w:cs="Arial"/>
          <w:bCs/>
          <w:vertAlign w:val="superscript"/>
        </w:rPr>
        <w:t>25</w:t>
      </w:r>
      <w:r w:rsidRPr="00681E74">
        <w:rPr>
          <w:rFonts w:cs="Arial"/>
          <w:bCs/>
        </w:rPr>
        <w:t>. The guidance:</w:t>
      </w:r>
    </w:p>
    <w:p w14:paraId="14D82B5F" w14:textId="77777777" w:rsidR="00681E74" w:rsidRPr="00681E74" w:rsidRDefault="00681E74" w:rsidP="004A15C9">
      <w:pPr>
        <w:numPr>
          <w:ilvl w:val="0"/>
          <w:numId w:val="25"/>
        </w:numPr>
        <w:spacing w:before="0" w:after="0" w:line="259" w:lineRule="auto"/>
        <w:rPr>
          <w:rFonts w:cs="Arial"/>
          <w:bCs/>
        </w:rPr>
      </w:pPr>
      <w:r w:rsidRPr="00681E74">
        <w:rPr>
          <w:rFonts w:cs="Arial"/>
          <w:bCs/>
        </w:rPr>
        <w:t>Introduces common principles and rules for managing conflicts of interest</w:t>
      </w:r>
    </w:p>
    <w:p w14:paraId="4404A205" w14:textId="77777777" w:rsidR="00681E74" w:rsidRPr="00681E74" w:rsidRDefault="00681E74" w:rsidP="004A15C9">
      <w:pPr>
        <w:numPr>
          <w:ilvl w:val="0"/>
          <w:numId w:val="25"/>
        </w:numPr>
        <w:spacing w:before="0" w:after="0" w:line="259" w:lineRule="auto"/>
        <w:rPr>
          <w:rFonts w:cs="Arial"/>
          <w:bCs/>
        </w:rPr>
      </w:pPr>
      <w:r w:rsidRPr="00681E74">
        <w:rPr>
          <w:rFonts w:cs="Arial"/>
          <w:bCs/>
        </w:rPr>
        <w:t>Provides simple advice to staff and organisations about what to do in common situations</w:t>
      </w:r>
    </w:p>
    <w:p w14:paraId="00C870BD" w14:textId="77777777" w:rsidR="00681E74" w:rsidRDefault="00681E74" w:rsidP="004A15C9">
      <w:pPr>
        <w:numPr>
          <w:ilvl w:val="0"/>
          <w:numId w:val="25"/>
        </w:numPr>
        <w:spacing w:before="0" w:after="0" w:line="259" w:lineRule="auto"/>
        <w:rPr>
          <w:rFonts w:cs="Arial"/>
          <w:bCs/>
        </w:rPr>
      </w:pPr>
      <w:r w:rsidRPr="00681E74">
        <w:rPr>
          <w:rFonts w:cs="Arial"/>
          <w:bCs/>
        </w:rPr>
        <w:t>Supports good judgement about how interests should be approached and managed.</w:t>
      </w:r>
    </w:p>
    <w:p w14:paraId="2499AAC0" w14:textId="77777777" w:rsidR="00681E74" w:rsidRPr="00681E74" w:rsidRDefault="00681E74" w:rsidP="00681E74">
      <w:pPr>
        <w:spacing w:before="0" w:after="0" w:line="259" w:lineRule="auto"/>
        <w:ind w:left="720"/>
        <w:rPr>
          <w:rFonts w:cs="Arial"/>
          <w:bCs/>
        </w:rPr>
      </w:pPr>
    </w:p>
    <w:p w14:paraId="3638420C" w14:textId="77777777" w:rsidR="00681E74" w:rsidRPr="00681E74" w:rsidRDefault="00681E74" w:rsidP="00681E74">
      <w:pPr>
        <w:spacing w:before="0" w:after="0" w:line="259" w:lineRule="auto"/>
        <w:rPr>
          <w:rFonts w:cs="Arial"/>
          <w:bCs/>
        </w:rPr>
      </w:pPr>
      <w:r w:rsidRPr="00681E74">
        <w:rPr>
          <w:rFonts w:cs="Arial"/>
          <w:bCs/>
        </w:rPr>
        <w:t>The guidance is applicable to the following NHS organisations:</w:t>
      </w:r>
    </w:p>
    <w:p w14:paraId="274A917A" w14:textId="77777777" w:rsidR="00681E74" w:rsidRPr="00681E74" w:rsidRDefault="00681E74" w:rsidP="004A15C9">
      <w:pPr>
        <w:numPr>
          <w:ilvl w:val="0"/>
          <w:numId w:val="26"/>
        </w:numPr>
        <w:spacing w:before="0" w:after="0" w:line="259" w:lineRule="auto"/>
        <w:rPr>
          <w:rFonts w:cs="Arial"/>
          <w:bCs/>
        </w:rPr>
      </w:pPr>
      <w:r w:rsidRPr="00681E74">
        <w:rPr>
          <w:rFonts w:cs="Arial"/>
          <w:bCs/>
        </w:rPr>
        <w:t xml:space="preserve">Commissioning </w:t>
      </w:r>
      <w:r w:rsidR="00705457">
        <w:rPr>
          <w:rFonts w:cs="Arial"/>
          <w:bCs/>
        </w:rPr>
        <w:t>organisations</w:t>
      </w:r>
      <w:r w:rsidRPr="00681E74">
        <w:rPr>
          <w:rFonts w:cs="Arial"/>
          <w:bCs/>
        </w:rPr>
        <w:t xml:space="preserve"> via the statutory guidance issued by NHS England</w:t>
      </w:r>
    </w:p>
    <w:p w14:paraId="72BBBFA5" w14:textId="77777777" w:rsidR="00681E74" w:rsidRPr="00681E74" w:rsidRDefault="00681E74" w:rsidP="004A15C9">
      <w:pPr>
        <w:numPr>
          <w:ilvl w:val="0"/>
          <w:numId w:val="26"/>
        </w:numPr>
        <w:spacing w:before="0" w:after="0" w:line="259" w:lineRule="auto"/>
        <w:rPr>
          <w:rFonts w:cs="Arial"/>
          <w:bCs/>
        </w:rPr>
      </w:pPr>
      <w:r w:rsidRPr="00681E74">
        <w:rPr>
          <w:rFonts w:cs="Arial"/>
          <w:bCs/>
        </w:rPr>
        <w:t>NHS Trusts and NHS Foundation Trusts – which include secondary care trusts, mental health trusts, community trusts, and ambulance trusts</w:t>
      </w:r>
    </w:p>
    <w:p w14:paraId="27B42457" w14:textId="77777777" w:rsidR="00681E74" w:rsidRDefault="00681E74" w:rsidP="004A15C9">
      <w:pPr>
        <w:numPr>
          <w:ilvl w:val="0"/>
          <w:numId w:val="26"/>
        </w:numPr>
        <w:spacing w:before="0" w:after="0" w:line="259" w:lineRule="auto"/>
        <w:rPr>
          <w:rFonts w:cs="Arial"/>
          <w:bCs/>
        </w:rPr>
      </w:pPr>
      <w:r w:rsidRPr="00681E74">
        <w:rPr>
          <w:rFonts w:cs="Arial"/>
          <w:bCs/>
        </w:rPr>
        <w:t>NHS England (through our Standards of Business Conduct)</w:t>
      </w:r>
    </w:p>
    <w:p w14:paraId="44E2D9C6" w14:textId="77777777" w:rsidR="00681E74" w:rsidRPr="00681E74" w:rsidRDefault="00681E74" w:rsidP="004A15C9">
      <w:pPr>
        <w:numPr>
          <w:ilvl w:val="0"/>
          <w:numId w:val="26"/>
        </w:numPr>
        <w:spacing w:before="0" w:after="0" w:line="259" w:lineRule="auto"/>
        <w:rPr>
          <w:rFonts w:cs="Arial"/>
          <w:bCs/>
        </w:rPr>
      </w:pPr>
    </w:p>
    <w:p w14:paraId="4DC9554C" w14:textId="77777777" w:rsidR="00681E74" w:rsidRPr="00681E74" w:rsidRDefault="00681E74" w:rsidP="00681E74">
      <w:pPr>
        <w:spacing w:before="0" w:after="0" w:line="259" w:lineRule="auto"/>
        <w:rPr>
          <w:rFonts w:cs="Arial"/>
          <w:bCs/>
        </w:rPr>
      </w:pPr>
      <w:r w:rsidRPr="00681E74">
        <w:rPr>
          <w:rFonts w:cs="Arial"/>
          <w:bCs/>
        </w:rPr>
        <w:t>Although the guidance does not apply to bodies not listed above (i.e. independent and private sector organisations, general practices, social enterprises, community pharmacies, community dental practices, optical providers, local authorities), these organisations are invited to consider implementing the guidance as a means to effectively manage conflicts of interest and provide safeguards for their staff.</w:t>
      </w:r>
    </w:p>
    <w:p w14:paraId="3FDA32AE" w14:textId="77777777" w:rsidR="00681E74" w:rsidRDefault="00681E74" w:rsidP="00681E74">
      <w:pPr>
        <w:spacing w:before="0" w:after="0" w:line="259" w:lineRule="auto"/>
        <w:rPr>
          <w:rFonts w:cs="Arial"/>
        </w:rPr>
      </w:pPr>
      <w:bookmarkStart w:id="57" w:name="_Toc39152545"/>
    </w:p>
    <w:p w14:paraId="30D71088" w14:textId="77777777" w:rsidR="00644D19" w:rsidRDefault="00644D19" w:rsidP="00681E74">
      <w:pPr>
        <w:spacing w:before="0" w:after="0" w:line="259" w:lineRule="auto"/>
        <w:rPr>
          <w:rFonts w:cs="Arial"/>
        </w:rPr>
      </w:pPr>
    </w:p>
    <w:p w14:paraId="45A20AA5" w14:textId="77777777" w:rsidR="00644D19" w:rsidRDefault="00644D19" w:rsidP="00681E74">
      <w:pPr>
        <w:spacing w:before="0" w:after="0" w:line="259" w:lineRule="auto"/>
        <w:rPr>
          <w:rFonts w:cs="Arial"/>
        </w:rPr>
      </w:pPr>
    </w:p>
    <w:p w14:paraId="747F4297" w14:textId="77777777" w:rsidR="00644D19" w:rsidRDefault="00644D19" w:rsidP="00681E74">
      <w:pPr>
        <w:spacing w:before="0" w:after="0" w:line="259" w:lineRule="auto"/>
        <w:rPr>
          <w:rFonts w:cs="Arial"/>
        </w:rPr>
      </w:pPr>
    </w:p>
    <w:p w14:paraId="512A9536" w14:textId="77777777" w:rsidR="00681E74" w:rsidRPr="004A15C9" w:rsidRDefault="005D07F7" w:rsidP="005D07F7">
      <w:pPr>
        <w:pStyle w:val="Heading1"/>
        <w:jc w:val="left"/>
        <w:rPr>
          <w:color w:val="2F5496"/>
        </w:rPr>
      </w:pPr>
      <w:bookmarkStart w:id="58" w:name="_Toc46843669"/>
      <w:r w:rsidRPr="004A15C9">
        <w:rPr>
          <w:color w:val="2F5496"/>
        </w:rPr>
        <w:lastRenderedPageBreak/>
        <w:t xml:space="preserve">13.0 </w:t>
      </w:r>
      <w:r w:rsidR="00681E74" w:rsidRPr="004A15C9">
        <w:rPr>
          <w:color w:val="2F5496"/>
        </w:rPr>
        <w:t>Free Samples</w:t>
      </w:r>
      <w:bookmarkEnd w:id="57"/>
      <w:bookmarkEnd w:id="58"/>
    </w:p>
    <w:p w14:paraId="69AB2A48" w14:textId="77777777" w:rsidR="00681E74" w:rsidRPr="00681E74" w:rsidRDefault="00681E74" w:rsidP="00681E74">
      <w:pPr>
        <w:spacing w:before="0" w:after="0" w:line="259" w:lineRule="auto"/>
        <w:rPr>
          <w:rFonts w:cs="Arial"/>
          <w:bCs/>
        </w:rPr>
      </w:pPr>
      <w:r w:rsidRPr="00681E74">
        <w:rPr>
          <w:rFonts w:cs="Arial"/>
        </w:rPr>
        <w:t xml:space="preserve">NMPs should not accept or use free samples or starter packs. </w:t>
      </w:r>
      <w:r w:rsidRPr="00681E74">
        <w:rPr>
          <w:rFonts w:cs="Arial"/>
          <w:bCs/>
        </w:rPr>
        <w:t xml:space="preserve">Representatives who wish to provide samples or starter packs should discuss with the Medicines Optimisation Team.  Gifts of minimal value may be accepted e.g. </w:t>
      </w:r>
      <w:r w:rsidRPr="00681E74">
        <w:rPr>
          <w:rFonts w:cs="Arial"/>
        </w:rPr>
        <w:t>pens, diaries, post-it pads.</w:t>
      </w:r>
    </w:p>
    <w:p w14:paraId="6681FB0C" w14:textId="77777777" w:rsidR="00644D19" w:rsidRDefault="00644D19" w:rsidP="00681E74">
      <w:pPr>
        <w:pStyle w:val="Heading1"/>
        <w:jc w:val="left"/>
        <w:rPr>
          <w:color w:val="2F5496"/>
        </w:rPr>
      </w:pPr>
      <w:bookmarkStart w:id="59" w:name="_Toc39152546"/>
    </w:p>
    <w:p w14:paraId="2388F4F8" w14:textId="77777777" w:rsidR="00681E74" w:rsidRPr="005902C6" w:rsidRDefault="00681E74" w:rsidP="00681E74">
      <w:pPr>
        <w:pStyle w:val="Heading1"/>
        <w:jc w:val="left"/>
        <w:rPr>
          <w:rFonts w:eastAsia="Calibri"/>
          <w:color w:val="2F5496"/>
        </w:rPr>
      </w:pPr>
      <w:bookmarkStart w:id="60" w:name="_Toc46843670"/>
      <w:r w:rsidRPr="005902C6">
        <w:rPr>
          <w:color w:val="2F5496"/>
        </w:rPr>
        <w:t xml:space="preserve">14.0 </w:t>
      </w:r>
      <w:r w:rsidRPr="005902C6">
        <w:rPr>
          <w:rFonts w:eastAsia="Calibri"/>
          <w:color w:val="2F5496"/>
        </w:rPr>
        <w:t>Meeting Representatives from the Pharmaceutical Industry</w:t>
      </w:r>
      <w:bookmarkEnd w:id="59"/>
      <w:bookmarkEnd w:id="60"/>
    </w:p>
    <w:p w14:paraId="582AA05D" w14:textId="77777777" w:rsidR="00681E74" w:rsidRDefault="00681E74" w:rsidP="00681E74">
      <w:pPr>
        <w:spacing w:before="0" w:after="0" w:line="259" w:lineRule="auto"/>
        <w:rPr>
          <w:rFonts w:cs="Arial"/>
        </w:rPr>
      </w:pPr>
      <w:r w:rsidRPr="00681E74">
        <w:rPr>
          <w:rFonts w:cs="Arial"/>
        </w:rPr>
        <w:t>Please refer to the Working with Industry guidance on the GP Portals</w:t>
      </w:r>
      <w:r>
        <w:rPr>
          <w:rFonts w:cs="Arial"/>
        </w:rPr>
        <w:t>.</w:t>
      </w:r>
    </w:p>
    <w:p w14:paraId="7656FA8E" w14:textId="77777777" w:rsidR="00681E74" w:rsidRDefault="00681E74" w:rsidP="00681E74">
      <w:pPr>
        <w:spacing w:before="0" w:after="0" w:line="259" w:lineRule="auto"/>
        <w:rPr>
          <w:rFonts w:cs="Arial"/>
        </w:rPr>
      </w:pPr>
    </w:p>
    <w:p w14:paraId="01D71393" w14:textId="77777777" w:rsidR="009F1ECD" w:rsidRDefault="009F1ECD" w:rsidP="00681E74">
      <w:pPr>
        <w:spacing w:before="0" w:after="0" w:line="259" w:lineRule="auto"/>
        <w:rPr>
          <w:rFonts w:cs="Arial"/>
        </w:rPr>
      </w:pPr>
    </w:p>
    <w:p w14:paraId="331696CA" w14:textId="77777777" w:rsidR="00681E74" w:rsidRPr="005902C6" w:rsidRDefault="00681E74" w:rsidP="009F1ECD">
      <w:pPr>
        <w:pStyle w:val="Heading1"/>
        <w:jc w:val="left"/>
        <w:rPr>
          <w:color w:val="2F5496"/>
        </w:rPr>
      </w:pPr>
      <w:bookmarkStart w:id="61" w:name="_Toc39152547"/>
      <w:bookmarkStart w:id="62" w:name="_Toc46843671"/>
      <w:r w:rsidRPr="005902C6">
        <w:rPr>
          <w:color w:val="2F5496"/>
        </w:rPr>
        <w:t>15.0 Contacts for Help and Support</w:t>
      </w:r>
      <w:bookmarkEnd w:id="61"/>
      <w:bookmarkEnd w:id="62"/>
    </w:p>
    <w:p w14:paraId="04A3998E" w14:textId="77777777" w:rsidR="00681E74" w:rsidRDefault="00681E74" w:rsidP="00681E74">
      <w:pPr>
        <w:spacing w:before="0" w:after="0" w:line="259" w:lineRule="auto"/>
        <w:rPr>
          <w:rFonts w:cs="Arial"/>
        </w:rPr>
      </w:pPr>
      <w:r w:rsidRPr="00681E74">
        <w:rPr>
          <w:rFonts w:cs="Arial"/>
        </w:rPr>
        <w:t xml:space="preserve">For medicines information and prescribing queries, please email the </w:t>
      </w:r>
      <w:r w:rsidR="003B723E">
        <w:rPr>
          <w:rFonts w:cs="Arial"/>
        </w:rPr>
        <w:t xml:space="preserve">TNW </w:t>
      </w:r>
      <w:r w:rsidRPr="00681E74">
        <w:rPr>
          <w:rFonts w:cs="Arial"/>
        </w:rPr>
        <w:t>Medicines Optimisation Team via the generic email listed below.</w:t>
      </w:r>
    </w:p>
    <w:p w14:paraId="1346A2B9" w14:textId="77777777" w:rsidR="009F1ECD" w:rsidRDefault="009F1ECD" w:rsidP="00681E74">
      <w:pPr>
        <w:spacing w:before="0" w:after="0" w:line="259" w:lineRule="auto"/>
        <w:rPr>
          <w:rFonts w:cs="Arial"/>
        </w:rPr>
      </w:pPr>
    </w:p>
    <w:p w14:paraId="17DD4749" w14:textId="77777777" w:rsidR="009F1ECD" w:rsidRDefault="009F1ECD" w:rsidP="00681E74">
      <w:pPr>
        <w:spacing w:before="0" w:after="0" w:line="259" w:lineRule="auto"/>
        <w:rPr>
          <w:rFonts w:cs="Arial"/>
        </w:rPr>
      </w:pPr>
    </w:p>
    <w:p w14:paraId="1F047837" w14:textId="77777777" w:rsidR="00597C88" w:rsidRDefault="00597C88" w:rsidP="00681E74">
      <w:pPr>
        <w:spacing w:before="0" w:after="0" w:line="259" w:lineRule="auto"/>
        <w:rPr>
          <w:rFonts w:cs="Arial"/>
        </w:rPr>
      </w:pPr>
    </w:p>
    <w:p w14:paraId="09848E68" w14:textId="77777777" w:rsidR="00BE3AF5" w:rsidRPr="005902C6" w:rsidRDefault="00BE3AF5" w:rsidP="00BE3AF5">
      <w:pPr>
        <w:pStyle w:val="Heading1"/>
        <w:jc w:val="left"/>
        <w:rPr>
          <w:color w:val="2F5496"/>
        </w:rPr>
      </w:pPr>
      <w:r>
        <w:br w:type="page"/>
      </w:r>
      <w:bookmarkStart w:id="63" w:name="_Toc46843672"/>
      <w:r w:rsidRPr="005902C6">
        <w:rPr>
          <w:color w:val="2F5496"/>
        </w:rPr>
        <w:lastRenderedPageBreak/>
        <w:t>16</w:t>
      </w:r>
      <w:r w:rsidR="005D07F7">
        <w:rPr>
          <w:color w:val="2F5496"/>
        </w:rPr>
        <w:t>.0</w:t>
      </w:r>
      <w:r w:rsidRPr="005902C6">
        <w:rPr>
          <w:color w:val="2F5496"/>
        </w:rPr>
        <w:tab/>
        <w:t xml:space="preserve"> Appendices</w:t>
      </w:r>
      <w:bookmarkEnd w:id="63"/>
    </w:p>
    <w:p w14:paraId="3D57D6A4" w14:textId="77777777" w:rsidR="00BE3AF5" w:rsidRDefault="00BE3AF5" w:rsidP="00BE3AF5"/>
    <w:p w14:paraId="6DD22785" w14:textId="77777777" w:rsidR="0024026B" w:rsidRPr="0070797B" w:rsidRDefault="005D07F7" w:rsidP="00644D19">
      <w:pPr>
        <w:pStyle w:val="Heading2"/>
        <w:jc w:val="left"/>
        <w:rPr>
          <w:color w:val="2F5496"/>
        </w:rPr>
      </w:pPr>
      <w:bookmarkStart w:id="64" w:name="_Toc46843673"/>
      <w:r>
        <w:rPr>
          <w:color w:val="2F5496"/>
        </w:rPr>
        <w:t>16.1</w:t>
      </w:r>
      <w:r w:rsidR="0024026B" w:rsidRPr="0070797B">
        <w:rPr>
          <w:color w:val="2F5496"/>
        </w:rPr>
        <w:t xml:space="preserve"> </w:t>
      </w:r>
      <w:r w:rsidR="00644D19" w:rsidRPr="0070797B">
        <w:rPr>
          <w:iCs/>
          <w:color w:val="2F5496"/>
        </w:rPr>
        <w:t>Appendix I</w:t>
      </w:r>
      <w:r w:rsidR="0024026B" w:rsidRPr="0070797B">
        <w:rPr>
          <w:color w:val="2F5496"/>
        </w:rPr>
        <w:t xml:space="preserve">: Checklist for registration of </w:t>
      </w:r>
      <w:proofErr w:type="gramStart"/>
      <w:r w:rsidR="0024026B" w:rsidRPr="0070797B">
        <w:rPr>
          <w:color w:val="2F5496"/>
        </w:rPr>
        <w:t>a</w:t>
      </w:r>
      <w:proofErr w:type="gramEnd"/>
      <w:r w:rsidR="0024026B" w:rsidRPr="0070797B">
        <w:rPr>
          <w:color w:val="2F5496"/>
        </w:rPr>
        <w:t xml:space="preserve"> NMP or making changes regarding registration status</w:t>
      </w:r>
      <w:bookmarkEnd w:id="64"/>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2711"/>
        <w:gridCol w:w="4833"/>
      </w:tblGrid>
      <w:tr w:rsidR="0024026B" w:rsidRPr="0080184A" w14:paraId="0722E2A7" w14:textId="77777777" w:rsidTr="005902C6">
        <w:trPr>
          <w:trHeight w:val="411"/>
        </w:trPr>
        <w:tc>
          <w:tcPr>
            <w:tcW w:w="3514" w:type="dxa"/>
            <w:shd w:val="clear" w:color="auto" w:fill="2A5CAA"/>
            <w:vAlign w:val="bottom"/>
          </w:tcPr>
          <w:p w14:paraId="32430045" w14:textId="77777777" w:rsidR="0024026B" w:rsidRPr="005902C6" w:rsidRDefault="0024026B" w:rsidP="005902C6">
            <w:pPr>
              <w:spacing w:after="200" w:line="360" w:lineRule="auto"/>
              <w:rPr>
                <w:rFonts w:cs="Calibri"/>
                <w:b/>
                <w:color w:val="FFFFFF"/>
              </w:rPr>
            </w:pPr>
            <w:r w:rsidRPr="005902C6">
              <w:rPr>
                <w:rFonts w:cs="Calibri"/>
                <w:color w:val="FFFFFF"/>
              </w:rPr>
              <w:t>Requirement</w:t>
            </w:r>
          </w:p>
        </w:tc>
        <w:tc>
          <w:tcPr>
            <w:tcW w:w="2711" w:type="dxa"/>
            <w:shd w:val="clear" w:color="auto" w:fill="2A5CAA"/>
          </w:tcPr>
          <w:p w14:paraId="4F6E20B8" w14:textId="77777777" w:rsidR="0024026B" w:rsidRPr="005902C6" w:rsidRDefault="0024026B" w:rsidP="005902C6">
            <w:pPr>
              <w:autoSpaceDE w:val="0"/>
              <w:autoSpaceDN w:val="0"/>
              <w:adjustRightInd w:val="0"/>
              <w:spacing w:line="360" w:lineRule="auto"/>
              <w:jc w:val="left"/>
              <w:rPr>
                <w:rFonts w:cs="Calibri"/>
                <w:color w:val="FFFFFF"/>
              </w:rPr>
            </w:pPr>
            <w:r w:rsidRPr="005902C6">
              <w:rPr>
                <w:rFonts w:cs="Calibri"/>
                <w:color w:val="FFFFFF"/>
              </w:rPr>
              <w:t>By Whom</w:t>
            </w:r>
          </w:p>
        </w:tc>
        <w:tc>
          <w:tcPr>
            <w:tcW w:w="4833" w:type="dxa"/>
            <w:shd w:val="clear" w:color="auto" w:fill="2A5CAA"/>
          </w:tcPr>
          <w:p w14:paraId="4EEA21E3" w14:textId="77777777" w:rsidR="0024026B" w:rsidRPr="005902C6" w:rsidRDefault="0024026B" w:rsidP="005902C6">
            <w:pPr>
              <w:autoSpaceDE w:val="0"/>
              <w:autoSpaceDN w:val="0"/>
              <w:adjustRightInd w:val="0"/>
              <w:spacing w:line="360" w:lineRule="auto"/>
              <w:jc w:val="left"/>
              <w:rPr>
                <w:rFonts w:cs="Calibri"/>
                <w:b/>
                <w:color w:val="FFFFFF"/>
              </w:rPr>
            </w:pPr>
            <w:r w:rsidRPr="005902C6">
              <w:rPr>
                <w:rFonts w:cs="Calibri"/>
                <w:color w:val="FFFFFF"/>
              </w:rPr>
              <w:t>Action</w:t>
            </w:r>
          </w:p>
        </w:tc>
      </w:tr>
      <w:tr w:rsidR="0024026B" w:rsidRPr="0080184A" w14:paraId="64582D8A" w14:textId="77777777" w:rsidTr="005902C6">
        <w:trPr>
          <w:trHeight w:val="1265"/>
        </w:trPr>
        <w:tc>
          <w:tcPr>
            <w:tcW w:w="3514" w:type="dxa"/>
            <w:shd w:val="clear" w:color="auto" w:fill="auto"/>
          </w:tcPr>
          <w:p w14:paraId="605DC455" w14:textId="77777777" w:rsidR="0024026B" w:rsidRPr="005902C6" w:rsidRDefault="0024026B" w:rsidP="005902C6">
            <w:pPr>
              <w:autoSpaceDE w:val="0"/>
              <w:autoSpaceDN w:val="0"/>
              <w:adjustRightInd w:val="0"/>
              <w:spacing w:line="360" w:lineRule="auto"/>
              <w:jc w:val="left"/>
              <w:rPr>
                <w:rFonts w:cs="Calibri"/>
              </w:rPr>
            </w:pPr>
            <w:r w:rsidRPr="005902C6">
              <w:rPr>
                <w:rFonts w:cs="Calibri"/>
              </w:rPr>
              <w:t>Qualifications of NMP are checked, including all certificates &amp; registration with the relevant regulatory body</w:t>
            </w:r>
          </w:p>
        </w:tc>
        <w:tc>
          <w:tcPr>
            <w:tcW w:w="2711" w:type="dxa"/>
            <w:shd w:val="clear" w:color="auto" w:fill="auto"/>
          </w:tcPr>
          <w:p w14:paraId="0841DC68" w14:textId="77777777" w:rsidR="0024026B" w:rsidRPr="005902C6" w:rsidRDefault="0024026B" w:rsidP="005902C6">
            <w:pPr>
              <w:autoSpaceDE w:val="0"/>
              <w:autoSpaceDN w:val="0"/>
              <w:adjustRightInd w:val="0"/>
              <w:spacing w:line="360" w:lineRule="auto"/>
              <w:rPr>
                <w:rFonts w:cs="Calibri"/>
              </w:rPr>
            </w:pPr>
            <w:r w:rsidRPr="005902C6">
              <w:rPr>
                <w:rFonts w:cs="Calibri"/>
              </w:rPr>
              <w:t>The employing practice</w:t>
            </w:r>
          </w:p>
        </w:tc>
        <w:tc>
          <w:tcPr>
            <w:tcW w:w="4833" w:type="dxa"/>
            <w:shd w:val="clear" w:color="auto" w:fill="auto"/>
          </w:tcPr>
          <w:p w14:paraId="61B127FE" w14:textId="77777777" w:rsidR="0024026B" w:rsidRPr="005902C6" w:rsidRDefault="0024026B" w:rsidP="005902C6">
            <w:pPr>
              <w:autoSpaceDE w:val="0"/>
              <w:autoSpaceDN w:val="0"/>
              <w:adjustRightInd w:val="0"/>
              <w:spacing w:line="360" w:lineRule="auto"/>
              <w:rPr>
                <w:rFonts w:cs="Calibri"/>
              </w:rPr>
            </w:pPr>
            <w:r w:rsidRPr="005902C6">
              <w:rPr>
                <w:rFonts w:cs="Calibri"/>
              </w:rPr>
              <w:t>Photocopies are kept by the practice as per Practice employment protocol</w:t>
            </w:r>
          </w:p>
        </w:tc>
      </w:tr>
      <w:tr w:rsidR="0024026B" w:rsidRPr="0080184A" w14:paraId="57AE78AA" w14:textId="77777777" w:rsidTr="005902C6">
        <w:tc>
          <w:tcPr>
            <w:tcW w:w="3514" w:type="dxa"/>
            <w:shd w:val="clear" w:color="auto" w:fill="auto"/>
          </w:tcPr>
          <w:p w14:paraId="25D7E10C" w14:textId="77777777" w:rsidR="0024026B" w:rsidRPr="005902C6" w:rsidRDefault="0024026B" w:rsidP="005902C6">
            <w:pPr>
              <w:autoSpaceDE w:val="0"/>
              <w:autoSpaceDN w:val="0"/>
              <w:adjustRightInd w:val="0"/>
              <w:spacing w:line="360" w:lineRule="auto"/>
              <w:jc w:val="left"/>
              <w:rPr>
                <w:rFonts w:cs="Calibri"/>
              </w:rPr>
            </w:pPr>
            <w:r w:rsidRPr="005902C6">
              <w:rPr>
                <w:rFonts w:cs="Calibri"/>
              </w:rPr>
              <w:t>Electronic sample signature of the NMP is obtained</w:t>
            </w:r>
          </w:p>
        </w:tc>
        <w:tc>
          <w:tcPr>
            <w:tcW w:w="2711" w:type="dxa"/>
            <w:shd w:val="clear" w:color="auto" w:fill="auto"/>
          </w:tcPr>
          <w:p w14:paraId="65E161FF" w14:textId="77777777" w:rsidR="0024026B" w:rsidRPr="005902C6" w:rsidRDefault="0024026B" w:rsidP="005902C6">
            <w:pPr>
              <w:autoSpaceDE w:val="0"/>
              <w:autoSpaceDN w:val="0"/>
              <w:adjustRightInd w:val="0"/>
              <w:spacing w:line="360" w:lineRule="auto"/>
              <w:rPr>
                <w:rFonts w:cs="Calibri"/>
              </w:rPr>
            </w:pPr>
            <w:r w:rsidRPr="005902C6">
              <w:rPr>
                <w:rFonts w:cs="Calibri"/>
              </w:rPr>
              <w:t>The employing practice</w:t>
            </w:r>
          </w:p>
        </w:tc>
        <w:tc>
          <w:tcPr>
            <w:tcW w:w="4833" w:type="dxa"/>
            <w:shd w:val="clear" w:color="auto" w:fill="auto"/>
          </w:tcPr>
          <w:p w14:paraId="12796F46" w14:textId="77777777" w:rsidR="0024026B" w:rsidRPr="005902C6" w:rsidRDefault="0024026B" w:rsidP="005902C6">
            <w:pPr>
              <w:autoSpaceDE w:val="0"/>
              <w:autoSpaceDN w:val="0"/>
              <w:adjustRightInd w:val="0"/>
              <w:spacing w:line="360" w:lineRule="auto"/>
              <w:rPr>
                <w:rFonts w:cs="Calibri"/>
              </w:rPr>
            </w:pPr>
            <w:r w:rsidRPr="005902C6">
              <w:rPr>
                <w:rFonts w:cs="Calibri"/>
              </w:rPr>
              <w:t xml:space="preserve">A pdf signature is kept on </w:t>
            </w:r>
            <w:proofErr w:type="gramStart"/>
            <w:r w:rsidRPr="005902C6">
              <w:rPr>
                <w:rFonts w:cs="Calibri"/>
              </w:rPr>
              <w:t>file  and</w:t>
            </w:r>
            <w:proofErr w:type="gramEnd"/>
            <w:r w:rsidRPr="005902C6">
              <w:rPr>
                <w:rFonts w:cs="Calibri"/>
              </w:rPr>
              <w:t xml:space="preserve"> provided to support clinical governance processes when required</w:t>
            </w:r>
          </w:p>
        </w:tc>
      </w:tr>
      <w:tr w:rsidR="0024026B" w:rsidRPr="0080184A" w14:paraId="06C644FA" w14:textId="77777777" w:rsidTr="005902C6">
        <w:trPr>
          <w:trHeight w:val="1532"/>
        </w:trPr>
        <w:tc>
          <w:tcPr>
            <w:tcW w:w="3514" w:type="dxa"/>
            <w:shd w:val="clear" w:color="auto" w:fill="auto"/>
          </w:tcPr>
          <w:p w14:paraId="5B58005A" w14:textId="77777777" w:rsidR="0024026B" w:rsidRPr="005902C6" w:rsidRDefault="0024026B" w:rsidP="005902C6">
            <w:pPr>
              <w:autoSpaceDE w:val="0"/>
              <w:autoSpaceDN w:val="0"/>
              <w:adjustRightInd w:val="0"/>
              <w:spacing w:line="360" w:lineRule="auto"/>
              <w:jc w:val="left"/>
              <w:rPr>
                <w:rFonts w:cs="Calibri"/>
              </w:rPr>
            </w:pPr>
            <w:r w:rsidRPr="005902C6">
              <w:rPr>
                <w:rFonts w:cs="Calibri"/>
              </w:rPr>
              <w:t>Non-Medical Prescribers Registration Assurance form is complete</w:t>
            </w:r>
            <w:r w:rsidR="007A0102">
              <w:rPr>
                <w:rFonts w:cs="Calibri"/>
              </w:rPr>
              <w:t>d</w:t>
            </w:r>
            <w:r w:rsidRPr="005902C6">
              <w:rPr>
                <w:rFonts w:cs="Calibri"/>
              </w:rPr>
              <w:t xml:space="preserve"> </w:t>
            </w:r>
            <w:r w:rsidRPr="005902C6">
              <w:rPr>
                <w:rFonts w:cs="Calibri"/>
                <w:b/>
              </w:rPr>
              <w:t>(Appendix I</w:t>
            </w:r>
            <w:r w:rsidR="007A0102">
              <w:rPr>
                <w:rFonts w:cs="Calibri"/>
                <w:b/>
              </w:rPr>
              <w:t>I</w:t>
            </w:r>
            <w:r w:rsidR="00DB5B34">
              <w:rPr>
                <w:rFonts w:cs="Calibri"/>
                <w:b/>
              </w:rPr>
              <w:t>I</w:t>
            </w:r>
            <w:r w:rsidRPr="005902C6">
              <w:rPr>
                <w:rFonts w:cs="Calibri"/>
                <w:b/>
              </w:rPr>
              <w:t>)</w:t>
            </w:r>
          </w:p>
        </w:tc>
        <w:tc>
          <w:tcPr>
            <w:tcW w:w="2711" w:type="dxa"/>
            <w:shd w:val="clear" w:color="auto" w:fill="auto"/>
          </w:tcPr>
          <w:p w14:paraId="5A125A6E" w14:textId="77777777" w:rsidR="0024026B" w:rsidRPr="005902C6" w:rsidRDefault="0024026B" w:rsidP="005902C6">
            <w:pPr>
              <w:autoSpaceDE w:val="0"/>
              <w:autoSpaceDN w:val="0"/>
              <w:adjustRightInd w:val="0"/>
              <w:spacing w:line="360" w:lineRule="auto"/>
              <w:jc w:val="left"/>
              <w:rPr>
                <w:rFonts w:cs="Calibri"/>
              </w:rPr>
            </w:pPr>
            <w:r w:rsidRPr="005902C6">
              <w:rPr>
                <w:rFonts w:cs="Calibri"/>
              </w:rPr>
              <w:t>NMP and line manager/clinical lead/senior partner</w:t>
            </w:r>
          </w:p>
        </w:tc>
        <w:tc>
          <w:tcPr>
            <w:tcW w:w="4833" w:type="dxa"/>
            <w:shd w:val="clear" w:color="auto" w:fill="auto"/>
          </w:tcPr>
          <w:p w14:paraId="0D2410B8" w14:textId="77777777" w:rsidR="0024026B" w:rsidRPr="005902C6" w:rsidRDefault="0024026B" w:rsidP="005902C6">
            <w:pPr>
              <w:autoSpaceDE w:val="0"/>
              <w:autoSpaceDN w:val="0"/>
              <w:adjustRightInd w:val="0"/>
              <w:spacing w:line="360" w:lineRule="auto"/>
              <w:jc w:val="left"/>
              <w:rPr>
                <w:rFonts w:cs="Calibri"/>
              </w:rPr>
            </w:pPr>
            <w:r w:rsidRPr="005902C6">
              <w:rPr>
                <w:rFonts w:cs="Calibri"/>
              </w:rPr>
              <w:t xml:space="preserve">A copy is sent to the Medicines Optimisation Team via generic email </w:t>
            </w:r>
          </w:p>
          <w:p w14:paraId="3BA225C1" w14:textId="77777777" w:rsidR="0024026B" w:rsidRDefault="00CF2869" w:rsidP="005902C6">
            <w:pPr>
              <w:shd w:val="clear" w:color="auto" w:fill="FFFFFF"/>
              <w:spacing w:before="0" w:after="0"/>
              <w:ind w:left="15"/>
              <w:jc w:val="left"/>
              <w:rPr>
                <w:rFonts w:eastAsia="Times New Roman" w:cs="Arial"/>
                <w:color w:val="333333"/>
                <w:sz w:val="21"/>
                <w:szCs w:val="21"/>
                <w:lang w:eastAsia="en-GB"/>
              </w:rPr>
            </w:pPr>
            <w:hyperlink r:id="rId50" w:history="1">
              <w:r w:rsidR="0007777D" w:rsidRPr="00C50A06">
                <w:rPr>
                  <w:rStyle w:val="Hyperlink"/>
                  <w:rFonts w:eastAsia="Times New Roman" w:cs="Arial"/>
                  <w:sz w:val="21"/>
                  <w:szCs w:val="21"/>
                  <w:lang w:eastAsia="en-GB"/>
                </w:rPr>
                <w:t>nelondon.tnwmedicinesoptimisation@nhs.net</w:t>
              </w:r>
            </w:hyperlink>
          </w:p>
          <w:p w14:paraId="568F3ED2" w14:textId="77777777" w:rsidR="0007777D" w:rsidRDefault="0007777D" w:rsidP="005902C6">
            <w:pPr>
              <w:shd w:val="clear" w:color="auto" w:fill="FFFFFF"/>
              <w:spacing w:before="0" w:after="0"/>
              <w:ind w:left="15"/>
              <w:jc w:val="left"/>
              <w:rPr>
                <w:rFonts w:eastAsia="Times New Roman" w:cs="Arial"/>
                <w:color w:val="333333"/>
                <w:sz w:val="21"/>
                <w:szCs w:val="21"/>
                <w:lang w:eastAsia="en-GB"/>
              </w:rPr>
            </w:pPr>
          </w:p>
          <w:p w14:paraId="5069D2BC" w14:textId="77777777" w:rsidR="0007777D" w:rsidRPr="005902C6" w:rsidRDefault="0007777D" w:rsidP="0007777D">
            <w:pPr>
              <w:shd w:val="clear" w:color="auto" w:fill="FFFFFF"/>
              <w:spacing w:before="0" w:after="0"/>
              <w:jc w:val="left"/>
              <w:rPr>
                <w:rFonts w:eastAsia="Times New Roman" w:cs="Arial"/>
                <w:color w:val="333333"/>
                <w:sz w:val="21"/>
                <w:szCs w:val="21"/>
                <w:lang w:eastAsia="en-GB"/>
              </w:rPr>
            </w:pPr>
          </w:p>
        </w:tc>
      </w:tr>
      <w:tr w:rsidR="0024026B" w:rsidRPr="0080184A" w14:paraId="7D12E858" w14:textId="77777777" w:rsidTr="005902C6">
        <w:trPr>
          <w:trHeight w:val="798"/>
        </w:trPr>
        <w:tc>
          <w:tcPr>
            <w:tcW w:w="3514" w:type="dxa"/>
            <w:shd w:val="clear" w:color="auto" w:fill="auto"/>
          </w:tcPr>
          <w:p w14:paraId="7F50D3A7" w14:textId="77777777" w:rsidR="0024026B" w:rsidRPr="005902C6" w:rsidRDefault="0024026B" w:rsidP="005902C6">
            <w:pPr>
              <w:autoSpaceDE w:val="0"/>
              <w:autoSpaceDN w:val="0"/>
              <w:adjustRightInd w:val="0"/>
              <w:spacing w:line="360" w:lineRule="auto"/>
              <w:jc w:val="left"/>
              <w:rPr>
                <w:rFonts w:cs="Calibri"/>
              </w:rPr>
            </w:pPr>
            <w:r w:rsidRPr="005902C6">
              <w:rPr>
                <w:rFonts w:cs="Calibri"/>
              </w:rPr>
              <w:t xml:space="preserve">Scope of practice form is completed by the NMP </w:t>
            </w:r>
            <w:r w:rsidRPr="005902C6">
              <w:rPr>
                <w:rFonts w:cs="Calibri"/>
                <w:b/>
              </w:rPr>
              <w:t xml:space="preserve">(Appendix </w:t>
            </w:r>
            <w:r w:rsidR="007A0102">
              <w:rPr>
                <w:rFonts w:cs="Calibri"/>
                <w:b/>
              </w:rPr>
              <w:t>I</w:t>
            </w:r>
            <w:r w:rsidR="00DB5B34">
              <w:rPr>
                <w:rFonts w:cs="Calibri"/>
                <w:b/>
              </w:rPr>
              <w:t>V</w:t>
            </w:r>
            <w:r w:rsidRPr="005902C6">
              <w:rPr>
                <w:rFonts w:cs="Calibri"/>
                <w:b/>
              </w:rPr>
              <w:t>)</w:t>
            </w:r>
          </w:p>
        </w:tc>
        <w:tc>
          <w:tcPr>
            <w:tcW w:w="2711" w:type="dxa"/>
            <w:shd w:val="clear" w:color="auto" w:fill="auto"/>
          </w:tcPr>
          <w:p w14:paraId="5AD4ADA5" w14:textId="77777777" w:rsidR="0024026B" w:rsidRPr="005902C6" w:rsidRDefault="0024026B" w:rsidP="005902C6">
            <w:pPr>
              <w:autoSpaceDE w:val="0"/>
              <w:autoSpaceDN w:val="0"/>
              <w:adjustRightInd w:val="0"/>
              <w:spacing w:line="360" w:lineRule="auto"/>
              <w:rPr>
                <w:rFonts w:cs="Calibri"/>
              </w:rPr>
            </w:pPr>
            <w:r w:rsidRPr="005902C6">
              <w:rPr>
                <w:rFonts w:cs="Calibri"/>
              </w:rPr>
              <w:t>Authorised by the employing practice /line manager/senior clinician</w:t>
            </w:r>
          </w:p>
        </w:tc>
        <w:tc>
          <w:tcPr>
            <w:tcW w:w="4833" w:type="dxa"/>
            <w:shd w:val="clear" w:color="auto" w:fill="auto"/>
          </w:tcPr>
          <w:p w14:paraId="2C167613" w14:textId="77777777" w:rsidR="0024026B" w:rsidRDefault="0024026B" w:rsidP="005902C6">
            <w:pPr>
              <w:autoSpaceDE w:val="0"/>
              <w:autoSpaceDN w:val="0"/>
              <w:adjustRightInd w:val="0"/>
              <w:spacing w:line="360" w:lineRule="auto"/>
              <w:rPr>
                <w:rFonts w:cs="Calibri"/>
              </w:rPr>
            </w:pPr>
            <w:r w:rsidRPr="005902C6">
              <w:rPr>
                <w:rFonts w:cs="Calibri"/>
              </w:rPr>
              <w:t>A copy is sent to the Medicines Optimisation Team via generic email</w:t>
            </w:r>
          </w:p>
          <w:p w14:paraId="74BC764A" w14:textId="77777777" w:rsidR="0007777D" w:rsidRPr="005902C6" w:rsidRDefault="0007777D" w:rsidP="005902C6">
            <w:pPr>
              <w:autoSpaceDE w:val="0"/>
              <w:autoSpaceDN w:val="0"/>
              <w:adjustRightInd w:val="0"/>
              <w:spacing w:line="360" w:lineRule="auto"/>
              <w:rPr>
                <w:rFonts w:cs="Calibri"/>
              </w:rPr>
            </w:pPr>
          </w:p>
        </w:tc>
      </w:tr>
      <w:tr w:rsidR="0024026B" w:rsidRPr="0080184A" w14:paraId="397C576A" w14:textId="77777777" w:rsidTr="005902C6">
        <w:tc>
          <w:tcPr>
            <w:tcW w:w="3514" w:type="dxa"/>
            <w:shd w:val="clear" w:color="auto" w:fill="auto"/>
          </w:tcPr>
          <w:p w14:paraId="596874B9" w14:textId="77777777" w:rsidR="0024026B" w:rsidRPr="005902C6" w:rsidRDefault="0024026B" w:rsidP="007A0102">
            <w:pPr>
              <w:autoSpaceDE w:val="0"/>
              <w:autoSpaceDN w:val="0"/>
              <w:adjustRightInd w:val="0"/>
              <w:spacing w:line="360" w:lineRule="auto"/>
              <w:jc w:val="left"/>
              <w:rPr>
                <w:rFonts w:cs="Calibri"/>
              </w:rPr>
            </w:pPr>
            <w:r w:rsidRPr="005902C6">
              <w:rPr>
                <w:rFonts w:cs="Calibri"/>
              </w:rPr>
              <w:t xml:space="preserve">NHSBSA form for an </w:t>
            </w:r>
            <w:r w:rsidR="00CB66BD" w:rsidRPr="005902C6">
              <w:rPr>
                <w:rFonts w:cs="Calibri"/>
              </w:rPr>
              <w:t>NMP joining</w:t>
            </w:r>
            <w:r w:rsidRPr="005902C6">
              <w:rPr>
                <w:rFonts w:cs="Calibri"/>
              </w:rPr>
              <w:t xml:space="preserve"> the organisation must be completed (Appendix </w:t>
            </w:r>
            <w:r w:rsidR="007A0102">
              <w:rPr>
                <w:rFonts w:cs="Calibri"/>
              </w:rPr>
              <w:t>V</w:t>
            </w:r>
            <w:r w:rsidRPr="005902C6">
              <w:rPr>
                <w:rFonts w:cs="Calibri"/>
              </w:rPr>
              <w:t>)</w:t>
            </w:r>
          </w:p>
        </w:tc>
        <w:tc>
          <w:tcPr>
            <w:tcW w:w="2711" w:type="dxa"/>
            <w:shd w:val="clear" w:color="auto" w:fill="auto"/>
          </w:tcPr>
          <w:p w14:paraId="1752C7AF" w14:textId="77777777" w:rsidR="0024026B" w:rsidRDefault="0024026B" w:rsidP="005902C6">
            <w:pPr>
              <w:autoSpaceDE w:val="0"/>
              <w:autoSpaceDN w:val="0"/>
              <w:adjustRightInd w:val="0"/>
              <w:spacing w:line="360" w:lineRule="auto"/>
              <w:rPr>
                <w:rFonts w:cs="Calibri"/>
              </w:rPr>
            </w:pPr>
            <w:r w:rsidRPr="005902C6">
              <w:rPr>
                <w:rFonts w:cs="Calibri"/>
              </w:rPr>
              <w:t>The employing practice/ NMP/ practice /line manager/senior clinician</w:t>
            </w:r>
          </w:p>
          <w:p w14:paraId="5DC33C52" w14:textId="77777777" w:rsidR="0007777D" w:rsidRPr="005902C6" w:rsidRDefault="0007777D" w:rsidP="005902C6">
            <w:pPr>
              <w:autoSpaceDE w:val="0"/>
              <w:autoSpaceDN w:val="0"/>
              <w:adjustRightInd w:val="0"/>
              <w:spacing w:line="360" w:lineRule="auto"/>
              <w:rPr>
                <w:rFonts w:cs="Calibri"/>
              </w:rPr>
            </w:pPr>
          </w:p>
        </w:tc>
        <w:tc>
          <w:tcPr>
            <w:tcW w:w="4833" w:type="dxa"/>
            <w:shd w:val="clear" w:color="auto" w:fill="auto"/>
          </w:tcPr>
          <w:p w14:paraId="25EDF506" w14:textId="77777777" w:rsidR="0024026B" w:rsidRDefault="0024026B" w:rsidP="005902C6">
            <w:pPr>
              <w:autoSpaceDE w:val="0"/>
              <w:autoSpaceDN w:val="0"/>
              <w:adjustRightInd w:val="0"/>
              <w:spacing w:line="360" w:lineRule="auto"/>
              <w:rPr>
                <w:rFonts w:cs="Calibri"/>
              </w:rPr>
            </w:pPr>
            <w:r w:rsidRPr="005902C6">
              <w:rPr>
                <w:rFonts w:cs="Calibri"/>
              </w:rPr>
              <w:t>A copy is sent to the Medicines Optimisation Team via generic email</w:t>
            </w:r>
          </w:p>
          <w:p w14:paraId="34DDBBDA" w14:textId="77777777" w:rsidR="0007777D" w:rsidRPr="005902C6" w:rsidRDefault="0007777D" w:rsidP="005902C6">
            <w:pPr>
              <w:autoSpaceDE w:val="0"/>
              <w:autoSpaceDN w:val="0"/>
              <w:adjustRightInd w:val="0"/>
              <w:spacing w:line="360" w:lineRule="auto"/>
              <w:rPr>
                <w:rFonts w:cs="Calibri"/>
              </w:rPr>
            </w:pPr>
          </w:p>
        </w:tc>
      </w:tr>
      <w:tr w:rsidR="0024026B" w:rsidRPr="0080184A" w14:paraId="079690F9" w14:textId="77777777" w:rsidTr="005902C6">
        <w:tc>
          <w:tcPr>
            <w:tcW w:w="3514" w:type="dxa"/>
            <w:shd w:val="clear" w:color="auto" w:fill="auto"/>
          </w:tcPr>
          <w:p w14:paraId="72324057" w14:textId="77777777" w:rsidR="0024026B" w:rsidRPr="005902C6" w:rsidRDefault="0024026B" w:rsidP="005902C6">
            <w:pPr>
              <w:autoSpaceDE w:val="0"/>
              <w:autoSpaceDN w:val="0"/>
              <w:adjustRightInd w:val="0"/>
              <w:spacing w:line="360" w:lineRule="auto"/>
              <w:jc w:val="left"/>
              <w:rPr>
                <w:rFonts w:cs="Calibri"/>
              </w:rPr>
            </w:pPr>
            <w:r w:rsidRPr="005902C6">
              <w:rPr>
                <w:rFonts w:cs="Calibri"/>
              </w:rPr>
              <w:t>If the NMP is leaving the orga</w:t>
            </w:r>
            <w:r w:rsidR="007A0102">
              <w:rPr>
                <w:rFonts w:cs="Calibri"/>
              </w:rPr>
              <w:t>nisation the form in Appendix VI</w:t>
            </w:r>
            <w:r w:rsidRPr="005902C6">
              <w:rPr>
                <w:rFonts w:cs="Calibri"/>
              </w:rPr>
              <w:t xml:space="preserve"> must be completed</w:t>
            </w:r>
          </w:p>
        </w:tc>
        <w:tc>
          <w:tcPr>
            <w:tcW w:w="2711" w:type="dxa"/>
            <w:shd w:val="clear" w:color="auto" w:fill="auto"/>
          </w:tcPr>
          <w:p w14:paraId="0CDB4AB6" w14:textId="77777777" w:rsidR="0024026B" w:rsidRDefault="0024026B" w:rsidP="005902C6">
            <w:pPr>
              <w:autoSpaceDE w:val="0"/>
              <w:autoSpaceDN w:val="0"/>
              <w:adjustRightInd w:val="0"/>
              <w:spacing w:line="360" w:lineRule="auto"/>
              <w:rPr>
                <w:rFonts w:cs="Calibri"/>
              </w:rPr>
            </w:pPr>
            <w:r w:rsidRPr="005902C6">
              <w:rPr>
                <w:rFonts w:cs="Calibri"/>
              </w:rPr>
              <w:t>The employing practice/ NMP/ practice /line manager/senior clinician</w:t>
            </w:r>
          </w:p>
          <w:p w14:paraId="53CDDA65" w14:textId="77777777" w:rsidR="0007777D" w:rsidRPr="005902C6" w:rsidRDefault="0007777D" w:rsidP="005902C6">
            <w:pPr>
              <w:autoSpaceDE w:val="0"/>
              <w:autoSpaceDN w:val="0"/>
              <w:adjustRightInd w:val="0"/>
              <w:spacing w:line="360" w:lineRule="auto"/>
              <w:rPr>
                <w:rFonts w:cs="Calibri"/>
              </w:rPr>
            </w:pPr>
          </w:p>
        </w:tc>
        <w:tc>
          <w:tcPr>
            <w:tcW w:w="4833" w:type="dxa"/>
            <w:shd w:val="clear" w:color="auto" w:fill="auto"/>
          </w:tcPr>
          <w:p w14:paraId="1B4029F6" w14:textId="77777777" w:rsidR="0024026B" w:rsidRPr="005902C6" w:rsidRDefault="0024026B" w:rsidP="005902C6">
            <w:pPr>
              <w:autoSpaceDE w:val="0"/>
              <w:autoSpaceDN w:val="0"/>
              <w:adjustRightInd w:val="0"/>
              <w:spacing w:line="360" w:lineRule="auto"/>
              <w:rPr>
                <w:rFonts w:cs="Calibri"/>
              </w:rPr>
            </w:pPr>
            <w:r w:rsidRPr="005902C6">
              <w:rPr>
                <w:rFonts w:cs="Calibri"/>
              </w:rPr>
              <w:t>A copy is sent to the Medicines Optimisation Team via generic email</w:t>
            </w:r>
          </w:p>
        </w:tc>
      </w:tr>
      <w:tr w:rsidR="0024026B" w:rsidRPr="0080184A" w14:paraId="2204F7C5" w14:textId="77777777" w:rsidTr="005902C6">
        <w:tc>
          <w:tcPr>
            <w:tcW w:w="3514" w:type="dxa"/>
            <w:shd w:val="clear" w:color="auto" w:fill="auto"/>
          </w:tcPr>
          <w:p w14:paraId="36444253" w14:textId="77777777" w:rsidR="0024026B" w:rsidRPr="005902C6" w:rsidRDefault="0024026B" w:rsidP="007A0102">
            <w:pPr>
              <w:autoSpaceDE w:val="0"/>
              <w:autoSpaceDN w:val="0"/>
              <w:adjustRightInd w:val="0"/>
              <w:spacing w:line="360" w:lineRule="auto"/>
              <w:jc w:val="left"/>
              <w:rPr>
                <w:rFonts w:cs="Calibri"/>
              </w:rPr>
            </w:pPr>
            <w:r w:rsidRPr="005902C6">
              <w:rPr>
                <w:rFonts w:cs="Calibri"/>
              </w:rPr>
              <w:t>If the NMP is leaving one organisation (practice) to join a different organisation (pra</w:t>
            </w:r>
            <w:r w:rsidR="007A0102">
              <w:rPr>
                <w:rFonts w:cs="Calibri"/>
              </w:rPr>
              <w:t>ctice), the forms in Appendix V</w:t>
            </w:r>
            <w:r w:rsidRPr="005902C6">
              <w:rPr>
                <w:rFonts w:cs="Calibri"/>
              </w:rPr>
              <w:t xml:space="preserve"> and App</w:t>
            </w:r>
            <w:r w:rsidR="007A0102">
              <w:rPr>
                <w:rFonts w:cs="Calibri"/>
              </w:rPr>
              <w:t>endix VI</w:t>
            </w:r>
            <w:r w:rsidRPr="005902C6">
              <w:rPr>
                <w:rFonts w:cs="Calibri"/>
              </w:rPr>
              <w:t xml:space="preserve"> must be completed.</w:t>
            </w:r>
          </w:p>
        </w:tc>
        <w:tc>
          <w:tcPr>
            <w:tcW w:w="2711" w:type="dxa"/>
            <w:shd w:val="clear" w:color="auto" w:fill="auto"/>
          </w:tcPr>
          <w:p w14:paraId="73B147E3" w14:textId="77777777" w:rsidR="0024026B" w:rsidRPr="005902C6" w:rsidRDefault="0024026B" w:rsidP="005902C6">
            <w:pPr>
              <w:autoSpaceDE w:val="0"/>
              <w:autoSpaceDN w:val="0"/>
              <w:adjustRightInd w:val="0"/>
              <w:spacing w:line="360" w:lineRule="auto"/>
              <w:rPr>
                <w:rFonts w:cs="Calibri"/>
              </w:rPr>
            </w:pPr>
            <w:r w:rsidRPr="005902C6">
              <w:rPr>
                <w:rFonts w:cs="Calibri"/>
              </w:rPr>
              <w:t>The employing practice/ NMP/ practice /line manager/senior clinician</w:t>
            </w:r>
          </w:p>
        </w:tc>
        <w:tc>
          <w:tcPr>
            <w:tcW w:w="4833" w:type="dxa"/>
            <w:shd w:val="clear" w:color="auto" w:fill="auto"/>
          </w:tcPr>
          <w:p w14:paraId="731FB238" w14:textId="77777777" w:rsidR="0024026B" w:rsidRPr="005902C6" w:rsidRDefault="0024026B" w:rsidP="005902C6">
            <w:pPr>
              <w:autoSpaceDE w:val="0"/>
              <w:autoSpaceDN w:val="0"/>
              <w:adjustRightInd w:val="0"/>
              <w:spacing w:line="360" w:lineRule="auto"/>
              <w:rPr>
                <w:rFonts w:cs="Calibri"/>
              </w:rPr>
            </w:pPr>
            <w:r w:rsidRPr="005902C6">
              <w:rPr>
                <w:rFonts w:cs="Calibri"/>
              </w:rPr>
              <w:t>Copies must be sent to the Medicines Optimisation Team via generic email</w:t>
            </w:r>
          </w:p>
        </w:tc>
      </w:tr>
    </w:tbl>
    <w:p w14:paraId="33A209EC" w14:textId="77777777" w:rsidR="00335709" w:rsidRPr="0070797B" w:rsidRDefault="00335709" w:rsidP="00335709">
      <w:pPr>
        <w:pStyle w:val="Heading2"/>
        <w:jc w:val="left"/>
        <w:rPr>
          <w:rFonts w:eastAsia="Calibri"/>
          <w:color w:val="2F5496"/>
        </w:rPr>
      </w:pPr>
      <w:r>
        <w:lastRenderedPageBreak/>
        <w:br/>
      </w:r>
      <w:bookmarkStart w:id="65" w:name="_Toc39152554"/>
      <w:bookmarkStart w:id="66" w:name="_Toc46843674"/>
      <w:r w:rsidRPr="0070797B">
        <w:rPr>
          <w:color w:val="2F5496"/>
        </w:rPr>
        <w:t>16.</w:t>
      </w:r>
      <w:r w:rsidR="00BD7F56">
        <w:rPr>
          <w:color w:val="2F5496"/>
        </w:rPr>
        <w:t>2</w:t>
      </w:r>
      <w:r w:rsidRPr="0070797B">
        <w:rPr>
          <w:color w:val="2F5496"/>
        </w:rPr>
        <w:t xml:space="preserve"> </w:t>
      </w:r>
      <w:r w:rsidRPr="0070797B">
        <w:rPr>
          <w:rFonts w:eastAsia="Calibri"/>
          <w:color w:val="2F5496"/>
        </w:rPr>
        <w:t>Appendix I</w:t>
      </w:r>
      <w:r w:rsidR="00BD7F56">
        <w:rPr>
          <w:rFonts w:eastAsia="Calibri"/>
          <w:color w:val="2F5496"/>
        </w:rPr>
        <w:t>I</w:t>
      </w:r>
      <w:r w:rsidRPr="0070797B">
        <w:rPr>
          <w:rFonts w:eastAsia="Calibri"/>
          <w:color w:val="2F5496"/>
        </w:rPr>
        <w:t xml:space="preserve">: Standard Operating Procedure (SOP) for registering </w:t>
      </w:r>
      <w:proofErr w:type="gramStart"/>
      <w:r w:rsidRPr="0070797B">
        <w:rPr>
          <w:rFonts w:eastAsia="Calibri"/>
          <w:color w:val="2F5496"/>
        </w:rPr>
        <w:t>a</w:t>
      </w:r>
      <w:proofErr w:type="gramEnd"/>
      <w:r w:rsidRPr="0070797B">
        <w:rPr>
          <w:rFonts w:eastAsia="Calibri"/>
          <w:color w:val="2F5496"/>
        </w:rPr>
        <w:t xml:space="preserve"> NMP</w:t>
      </w:r>
      <w:bookmarkEnd w:id="65"/>
      <w:bookmarkEnd w:id="66"/>
    </w:p>
    <w:p w14:paraId="6A6375E7" w14:textId="77777777" w:rsidR="00335709" w:rsidRPr="00364553" w:rsidRDefault="00335709" w:rsidP="00335709"/>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3261"/>
      </w:tblGrid>
      <w:tr w:rsidR="00335709" w:rsidRPr="00364553" w14:paraId="0F12A06E" w14:textId="77777777" w:rsidTr="009E1850">
        <w:trPr>
          <w:trHeight w:val="437"/>
        </w:trPr>
        <w:tc>
          <w:tcPr>
            <w:tcW w:w="7655" w:type="dxa"/>
            <w:shd w:val="clear" w:color="auto" w:fill="DEEAF6"/>
          </w:tcPr>
          <w:p w14:paraId="04AF1097" w14:textId="77777777" w:rsidR="00335709" w:rsidRPr="00364553" w:rsidRDefault="00335709" w:rsidP="009E1850">
            <w:pPr>
              <w:rPr>
                <w:b/>
              </w:rPr>
            </w:pPr>
            <w:r w:rsidRPr="00364553">
              <w:rPr>
                <w:b/>
              </w:rPr>
              <w:t>Process</w:t>
            </w:r>
          </w:p>
        </w:tc>
        <w:tc>
          <w:tcPr>
            <w:tcW w:w="3261" w:type="dxa"/>
            <w:shd w:val="clear" w:color="auto" w:fill="DEEAF6"/>
          </w:tcPr>
          <w:p w14:paraId="4B1C1306" w14:textId="77777777" w:rsidR="00335709" w:rsidRPr="00364553" w:rsidRDefault="00335709" w:rsidP="009E1850">
            <w:pPr>
              <w:rPr>
                <w:b/>
              </w:rPr>
            </w:pPr>
            <w:r w:rsidRPr="00364553">
              <w:rPr>
                <w:b/>
              </w:rPr>
              <w:t>To be completed by</w:t>
            </w:r>
          </w:p>
        </w:tc>
      </w:tr>
      <w:tr w:rsidR="00335709" w:rsidRPr="00364553" w14:paraId="0397A450" w14:textId="77777777" w:rsidTr="009E1850">
        <w:trPr>
          <w:trHeight w:val="1370"/>
        </w:trPr>
        <w:tc>
          <w:tcPr>
            <w:tcW w:w="7655" w:type="dxa"/>
          </w:tcPr>
          <w:p w14:paraId="58A147DE" w14:textId="77777777" w:rsidR="00335709" w:rsidRPr="00364553" w:rsidRDefault="00335709" w:rsidP="009E1850">
            <w:r w:rsidRPr="00364553">
              <w:t>Employing GP practice confirms request in writing to give access to prescribing budget and accepts responsibility for verifying HR processes including qualifications for candidate.</w:t>
            </w:r>
          </w:p>
          <w:p w14:paraId="3E4EFA6C" w14:textId="77777777" w:rsidR="00335709" w:rsidRPr="00364553" w:rsidRDefault="00335709" w:rsidP="009E1850">
            <w:r w:rsidRPr="00364553">
              <w:t>Manager/employer to ensure IP is in job description</w:t>
            </w:r>
          </w:p>
        </w:tc>
        <w:tc>
          <w:tcPr>
            <w:tcW w:w="3261" w:type="dxa"/>
          </w:tcPr>
          <w:p w14:paraId="76E9D4DA" w14:textId="77777777" w:rsidR="00335709" w:rsidRPr="00364553" w:rsidRDefault="00335709" w:rsidP="009E1850">
            <w:r w:rsidRPr="00364553">
              <w:t xml:space="preserve">GP lead/Clinical Manager </w:t>
            </w:r>
          </w:p>
        </w:tc>
      </w:tr>
      <w:tr w:rsidR="00335709" w:rsidRPr="00364553" w14:paraId="486564A0" w14:textId="77777777" w:rsidTr="009E1850">
        <w:trPr>
          <w:trHeight w:val="605"/>
        </w:trPr>
        <w:tc>
          <w:tcPr>
            <w:tcW w:w="7655" w:type="dxa"/>
          </w:tcPr>
          <w:p w14:paraId="6B8740F0" w14:textId="77777777" w:rsidR="00335709" w:rsidRPr="00364553" w:rsidRDefault="00335709" w:rsidP="009E1850">
            <w:r w:rsidRPr="00364553">
              <w:t xml:space="preserve">Practitioner registers with the appropriate professional body and ensures name is annotated as a prescriber on professional register  </w:t>
            </w:r>
          </w:p>
        </w:tc>
        <w:tc>
          <w:tcPr>
            <w:tcW w:w="3261" w:type="dxa"/>
          </w:tcPr>
          <w:p w14:paraId="3ED33A03" w14:textId="77777777" w:rsidR="00335709" w:rsidRPr="00364553" w:rsidRDefault="00335709" w:rsidP="009E1850">
            <w:r w:rsidRPr="00364553">
              <w:t>Non-Medical Prescriber</w:t>
            </w:r>
          </w:p>
        </w:tc>
      </w:tr>
      <w:tr w:rsidR="00335709" w:rsidRPr="00364553" w14:paraId="549CC3A5" w14:textId="77777777" w:rsidTr="009E1850">
        <w:trPr>
          <w:trHeight w:val="1475"/>
        </w:trPr>
        <w:tc>
          <w:tcPr>
            <w:tcW w:w="7655" w:type="dxa"/>
            <w:shd w:val="clear" w:color="auto" w:fill="auto"/>
          </w:tcPr>
          <w:p w14:paraId="74D2184D" w14:textId="77777777" w:rsidR="00335709" w:rsidRPr="00364553" w:rsidRDefault="00335709" w:rsidP="009E1850">
            <w:r w:rsidRPr="00364553">
              <w:t>Complete all the relevant registration forms and email to the Medicines Optimisation Team.</w:t>
            </w:r>
          </w:p>
          <w:p w14:paraId="3AFB3B6F" w14:textId="77777777" w:rsidR="00335709" w:rsidRPr="00364553" w:rsidRDefault="00335709" w:rsidP="009E1850">
            <w:pPr>
              <w:numPr>
                <w:ilvl w:val="0"/>
                <w:numId w:val="28"/>
              </w:numPr>
            </w:pPr>
            <w:r w:rsidRPr="00364553">
              <w:t>Non-Medical Prescribers Registration Assurance Form-Appendix I</w:t>
            </w:r>
            <w:r w:rsidR="00DB5B34">
              <w:t>I</w:t>
            </w:r>
            <w:r>
              <w:t>I</w:t>
            </w:r>
          </w:p>
          <w:p w14:paraId="5323D5BC" w14:textId="77777777" w:rsidR="00335709" w:rsidRPr="00364553" w:rsidRDefault="00335709" w:rsidP="009E1850">
            <w:pPr>
              <w:numPr>
                <w:ilvl w:val="0"/>
                <w:numId w:val="28"/>
              </w:numPr>
            </w:pPr>
            <w:r w:rsidRPr="00364553">
              <w:t xml:space="preserve">Non-Medical </w:t>
            </w:r>
            <w:r w:rsidR="0007777D" w:rsidRPr="00364553">
              <w:t>Prescribing Scope</w:t>
            </w:r>
            <w:r w:rsidRPr="00364553">
              <w:t xml:space="preserve"> </w:t>
            </w:r>
            <w:r w:rsidR="00CB66BD" w:rsidRPr="00364553">
              <w:t>of</w:t>
            </w:r>
            <w:r w:rsidR="00DB5B34">
              <w:t xml:space="preserve"> Practice Agreement-Appendix IV</w:t>
            </w:r>
          </w:p>
          <w:p w14:paraId="20CB60EB" w14:textId="77777777" w:rsidR="00335709" w:rsidRPr="00364553" w:rsidRDefault="00335709" w:rsidP="009E1850">
            <w:pPr>
              <w:numPr>
                <w:ilvl w:val="0"/>
                <w:numId w:val="28"/>
              </w:numPr>
            </w:pPr>
            <w:r w:rsidRPr="00364553">
              <w:t>NMP joining</w:t>
            </w:r>
            <w:r>
              <w:t xml:space="preserve"> a new organisation-Appendix V</w:t>
            </w:r>
          </w:p>
        </w:tc>
        <w:tc>
          <w:tcPr>
            <w:tcW w:w="3261" w:type="dxa"/>
            <w:shd w:val="clear" w:color="auto" w:fill="auto"/>
          </w:tcPr>
          <w:p w14:paraId="3551E61F" w14:textId="77777777" w:rsidR="00335709" w:rsidRPr="00364553" w:rsidRDefault="00335709" w:rsidP="009E1850">
            <w:r w:rsidRPr="00364553">
              <w:t xml:space="preserve">GP lead/Clinical Manager and </w:t>
            </w:r>
          </w:p>
          <w:p w14:paraId="21F6096E" w14:textId="77777777" w:rsidR="00335709" w:rsidRPr="00364553" w:rsidRDefault="00335709" w:rsidP="009E1850">
            <w:r w:rsidRPr="00364553">
              <w:t>Non-Medical Prescriber</w:t>
            </w:r>
          </w:p>
          <w:p w14:paraId="76D49673" w14:textId="77777777" w:rsidR="00335709" w:rsidRPr="00364553" w:rsidRDefault="00335709" w:rsidP="009E1850"/>
        </w:tc>
      </w:tr>
      <w:tr w:rsidR="00335709" w:rsidRPr="00364553" w14:paraId="25DE5FA9" w14:textId="77777777" w:rsidTr="009E1850">
        <w:trPr>
          <w:trHeight w:val="678"/>
        </w:trPr>
        <w:tc>
          <w:tcPr>
            <w:tcW w:w="7655" w:type="dxa"/>
            <w:shd w:val="clear" w:color="auto" w:fill="auto"/>
          </w:tcPr>
          <w:p w14:paraId="1D0A732D" w14:textId="77777777" w:rsidR="00335709" w:rsidRPr="00364553" w:rsidRDefault="00335709" w:rsidP="009E1850">
            <w:r w:rsidRPr="00364553">
              <w:t>Confirm practitioner registration on the appropriate professional register</w:t>
            </w:r>
          </w:p>
        </w:tc>
        <w:tc>
          <w:tcPr>
            <w:tcW w:w="3261" w:type="dxa"/>
            <w:shd w:val="clear" w:color="auto" w:fill="auto"/>
          </w:tcPr>
          <w:p w14:paraId="34F13DD8" w14:textId="77777777" w:rsidR="00335709" w:rsidRPr="00364553" w:rsidRDefault="00335709" w:rsidP="009E1850">
            <w:r w:rsidRPr="00364553">
              <w:t>Medicines Optimisation Team</w:t>
            </w:r>
          </w:p>
        </w:tc>
      </w:tr>
      <w:tr w:rsidR="00335709" w:rsidRPr="00364553" w14:paraId="6F18F5AE" w14:textId="77777777" w:rsidTr="009E1850">
        <w:trPr>
          <w:trHeight w:val="678"/>
        </w:trPr>
        <w:tc>
          <w:tcPr>
            <w:tcW w:w="7655" w:type="dxa"/>
            <w:shd w:val="clear" w:color="auto" w:fill="auto"/>
          </w:tcPr>
          <w:p w14:paraId="5F08A837" w14:textId="77777777" w:rsidR="00335709" w:rsidRPr="00364553" w:rsidRDefault="00335709" w:rsidP="009E1850">
            <w:r w:rsidRPr="00364553">
              <w:t>Send NHSBSA NMP joining a n</w:t>
            </w:r>
            <w:r>
              <w:t xml:space="preserve">ew organisation form (Appendix </w:t>
            </w:r>
            <w:r w:rsidRPr="00364553">
              <w:t>V) to NHSBSA and copy practitioner into the email</w:t>
            </w:r>
          </w:p>
        </w:tc>
        <w:tc>
          <w:tcPr>
            <w:tcW w:w="3261" w:type="dxa"/>
            <w:shd w:val="clear" w:color="auto" w:fill="auto"/>
          </w:tcPr>
          <w:p w14:paraId="6A2A2D4E" w14:textId="77777777" w:rsidR="00335709" w:rsidRPr="00364553" w:rsidRDefault="00335709" w:rsidP="009E1850">
            <w:r w:rsidRPr="00364553">
              <w:t>Medicines Optimisation Team</w:t>
            </w:r>
          </w:p>
        </w:tc>
      </w:tr>
      <w:tr w:rsidR="00335709" w:rsidRPr="00364553" w14:paraId="7BE0156E" w14:textId="77777777" w:rsidTr="009E1850">
        <w:trPr>
          <w:trHeight w:val="362"/>
        </w:trPr>
        <w:tc>
          <w:tcPr>
            <w:tcW w:w="7655" w:type="dxa"/>
            <w:shd w:val="clear" w:color="auto" w:fill="auto"/>
          </w:tcPr>
          <w:p w14:paraId="2B960714" w14:textId="77777777" w:rsidR="00335709" w:rsidRPr="00364553" w:rsidRDefault="00335709" w:rsidP="009E1850">
            <w:r w:rsidRPr="00364553">
              <w:t xml:space="preserve">Complete Non-Medical Prescribing register  </w:t>
            </w:r>
          </w:p>
        </w:tc>
        <w:tc>
          <w:tcPr>
            <w:tcW w:w="3261" w:type="dxa"/>
            <w:shd w:val="clear" w:color="auto" w:fill="auto"/>
          </w:tcPr>
          <w:p w14:paraId="359A4F47" w14:textId="77777777" w:rsidR="00335709" w:rsidRPr="00364553" w:rsidRDefault="00335709" w:rsidP="009E1850">
            <w:r w:rsidRPr="00364553">
              <w:t>Medicines Optimisation Team</w:t>
            </w:r>
          </w:p>
        </w:tc>
      </w:tr>
      <w:tr w:rsidR="00335709" w:rsidRPr="00364553" w14:paraId="4899C75E" w14:textId="77777777" w:rsidTr="009E1850">
        <w:trPr>
          <w:trHeight w:val="362"/>
        </w:trPr>
        <w:tc>
          <w:tcPr>
            <w:tcW w:w="7655" w:type="dxa"/>
            <w:shd w:val="clear" w:color="auto" w:fill="auto"/>
          </w:tcPr>
          <w:p w14:paraId="5EA31778" w14:textId="77777777" w:rsidR="00335709" w:rsidRPr="00364553" w:rsidRDefault="00335709" w:rsidP="009E1850">
            <w:r w:rsidRPr="00364553">
              <w:t>Confirmation of NHSBSA registration</w:t>
            </w:r>
          </w:p>
          <w:p w14:paraId="31C82FD6" w14:textId="77777777" w:rsidR="00335709" w:rsidRPr="00364553" w:rsidRDefault="00335709" w:rsidP="009E1850">
            <w:r w:rsidRPr="00364553">
              <w:t>The NHSBSA does not inform the Medicines Optimisation team of registration so in the case of delays in notification, the practitioner should follow up in an email and copy the team into the email</w:t>
            </w:r>
          </w:p>
          <w:p w14:paraId="67DFE507" w14:textId="77777777" w:rsidR="00335709" w:rsidRPr="00364553" w:rsidRDefault="00335709" w:rsidP="009E1850"/>
        </w:tc>
        <w:tc>
          <w:tcPr>
            <w:tcW w:w="3261" w:type="dxa"/>
          </w:tcPr>
          <w:p w14:paraId="136237E7" w14:textId="77777777" w:rsidR="00335709" w:rsidRPr="00364553" w:rsidRDefault="00335709" w:rsidP="009E1850"/>
          <w:p w14:paraId="3A076426" w14:textId="77777777" w:rsidR="00335709" w:rsidRPr="00364553" w:rsidRDefault="00335709" w:rsidP="009E1850">
            <w:r w:rsidRPr="00364553">
              <w:t>Non-Medical Prescriber</w:t>
            </w:r>
          </w:p>
        </w:tc>
      </w:tr>
      <w:tr w:rsidR="00335709" w:rsidRPr="00364553" w14:paraId="59C67F12" w14:textId="77777777" w:rsidTr="009E1850">
        <w:trPr>
          <w:trHeight w:val="362"/>
        </w:trPr>
        <w:tc>
          <w:tcPr>
            <w:tcW w:w="7655" w:type="dxa"/>
            <w:shd w:val="clear" w:color="auto" w:fill="auto"/>
          </w:tcPr>
          <w:p w14:paraId="4E823884" w14:textId="77777777" w:rsidR="00335709" w:rsidRPr="00364553" w:rsidRDefault="00335709" w:rsidP="009E1850">
            <w:r>
              <w:t>O</w:t>
            </w:r>
            <w:r w:rsidRPr="00364553">
              <w:t>n receipt of NHSBSA confirmation of registration, the practitioner is added to the practice prescribing system and prescribing commences</w:t>
            </w:r>
          </w:p>
          <w:p w14:paraId="74BEF1D9" w14:textId="77777777" w:rsidR="00335709" w:rsidRPr="00364553" w:rsidRDefault="00335709" w:rsidP="009E1850"/>
        </w:tc>
        <w:tc>
          <w:tcPr>
            <w:tcW w:w="3261" w:type="dxa"/>
          </w:tcPr>
          <w:p w14:paraId="5C510020" w14:textId="77777777" w:rsidR="00335709" w:rsidRPr="00364553" w:rsidRDefault="00335709" w:rsidP="009E1850">
            <w:r w:rsidRPr="00364553">
              <w:t>Practice manager/Administrator</w:t>
            </w:r>
          </w:p>
          <w:p w14:paraId="2A7EB3DA" w14:textId="77777777" w:rsidR="00335709" w:rsidRPr="00364553" w:rsidRDefault="00335709" w:rsidP="009E1850">
            <w:r w:rsidRPr="00364553">
              <w:t>Non-Medical Prescriber</w:t>
            </w:r>
          </w:p>
        </w:tc>
      </w:tr>
      <w:tr w:rsidR="00335709" w:rsidRPr="00364553" w14:paraId="30B2B636" w14:textId="77777777" w:rsidTr="009E1850">
        <w:trPr>
          <w:trHeight w:val="1988"/>
        </w:trPr>
        <w:tc>
          <w:tcPr>
            <w:tcW w:w="7655" w:type="dxa"/>
          </w:tcPr>
          <w:p w14:paraId="2F05BD51" w14:textId="77777777" w:rsidR="00335709" w:rsidRPr="00364553" w:rsidRDefault="00335709" w:rsidP="009E1850">
            <w:r w:rsidRPr="00364553">
              <w:t>Inform of any changes to employment/NMP leaving the organisation, prescribing etc.</w:t>
            </w:r>
          </w:p>
        </w:tc>
        <w:tc>
          <w:tcPr>
            <w:tcW w:w="3261" w:type="dxa"/>
          </w:tcPr>
          <w:p w14:paraId="0A3C95DC" w14:textId="77777777" w:rsidR="00335709" w:rsidRPr="00364553" w:rsidRDefault="00335709" w:rsidP="009E1850">
            <w:r w:rsidRPr="00364553">
              <w:t xml:space="preserve">GP lead/Clinical Manager and </w:t>
            </w:r>
          </w:p>
          <w:p w14:paraId="514DCCB2" w14:textId="77777777" w:rsidR="00335709" w:rsidRPr="00364553" w:rsidRDefault="00335709" w:rsidP="009E1850">
            <w:r w:rsidRPr="00364553">
              <w:t>Non-Medical Prescriber</w:t>
            </w:r>
          </w:p>
        </w:tc>
      </w:tr>
    </w:tbl>
    <w:p w14:paraId="5304FE86" w14:textId="77777777" w:rsidR="00335709" w:rsidRDefault="00335709" w:rsidP="00BE3AF5"/>
    <w:p w14:paraId="01A52A68" w14:textId="77777777" w:rsidR="0024026B" w:rsidRPr="00BE3AF5" w:rsidRDefault="00335709" w:rsidP="00335709">
      <w:r>
        <w:br w:type="page"/>
      </w:r>
    </w:p>
    <w:p w14:paraId="38589573" w14:textId="77777777" w:rsidR="00597C88" w:rsidRPr="0070797B" w:rsidRDefault="0024026B" w:rsidP="00644D19">
      <w:pPr>
        <w:pStyle w:val="Heading2"/>
        <w:jc w:val="left"/>
        <w:rPr>
          <w:color w:val="2F5496"/>
        </w:rPr>
      </w:pPr>
      <w:bookmarkStart w:id="67" w:name="_Toc46843675"/>
      <w:r w:rsidRPr="0070797B">
        <w:rPr>
          <w:color w:val="2F5496"/>
        </w:rPr>
        <w:lastRenderedPageBreak/>
        <w:t>1</w:t>
      </w:r>
      <w:r w:rsidR="00BD7F56">
        <w:rPr>
          <w:color w:val="2F5496"/>
        </w:rPr>
        <w:t>6.3</w:t>
      </w:r>
      <w:r w:rsidR="00567C04">
        <w:rPr>
          <w:color w:val="2F5496"/>
        </w:rPr>
        <w:tab/>
        <w:t>Appendix</w:t>
      </w:r>
      <w:r w:rsidR="00BE3AF5" w:rsidRPr="0070797B">
        <w:rPr>
          <w:color w:val="2F5496"/>
        </w:rPr>
        <w:t xml:space="preserve"> </w:t>
      </w:r>
      <w:r w:rsidR="00BD7F56">
        <w:rPr>
          <w:color w:val="2F5496"/>
        </w:rPr>
        <w:t>I</w:t>
      </w:r>
      <w:r w:rsidRPr="0070797B">
        <w:rPr>
          <w:color w:val="2F5496"/>
        </w:rPr>
        <w:t>I</w:t>
      </w:r>
      <w:r w:rsidR="00BE3AF5" w:rsidRPr="0070797B">
        <w:rPr>
          <w:color w:val="2F5496"/>
        </w:rPr>
        <w:t>I: Non-Medical Prescribers Registration Assurance Form</w:t>
      </w:r>
      <w:bookmarkEnd w:id="67"/>
    </w:p>
    <w:p w14:paraId="396A2310" w14:textId="77777777" w:rsidR="00681E74" w:rsidRDefault="00681E74" w:rsidP="00681E74">
      <w:pPr>
        <w:spacing w:before="0" w:after="0" w:line="259" w:lineRule="auto"/>
        <w:rPr>
          <w:rFonts w:cs="Arial"/>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2"/>
        <w:gridCol w:w="7895"/>
      </w:tblGrid>
      <w:tr w:rsidR="00BE3AF5" w:rsidRPr="00BE3AF5" w14:paraId="6564D367" w14:textId="77777777" w:rsidTr="004B1202">
        <w:trPr>
          <w:trHeight w:val="375"/>
        </w:trPr>
        <w:tc>
          <w:tcPr>
            <w:tcW w:w="2482" w:type="dxa"/>
          </w:tcPr>
          <w:p w14:paraId="37CFEA4A" w14:textId="77777777" w:rsidR="00BE3AF5" w:rsidRPr="00BE3AF5" w:rsidRDefault="00BE3AF5" w:rsidP="00BE3AF5">
            <w:pPr>
              <w:spacing w:before="0" w:after="0" w:line="259" w:lineRule="auto"/>
              <w:jc w:val="left"/>
              <w:rPr>
                <w:rFonts w:cs="Arial"/>
                <w:b/>
              </w:rPr>
            </w:pPr>
            <w:r w:rsidRPr="00BE3AF5">
              <w:rPr>
                <w:rFonts w:cs="Arial"/>
                <w:b/>
              </w:rPr>
              <w:t>Name of Non-Medical Prescriber</w:t>
            </w:r>
          </w:p>
        </w:tc>
        <w:tc>
          <w:tcPr>
            <w:tcW w:w="7895" w:type="dxa"/>
          </w:tcPr>
          <w:p w14:paraId="3E5BEBAE" w14:textId="77777777" w:rsidR="00BE3AF5" w:rsidRDefault="00BE3AF5" w:rsidP="00BE3AF5">
            <w:pPr>
              <w:spacing w:before="0" w:after="0" w:line="259" w:lineRule="auto"/>
              <w:rPr>
                <w:rFonts w:cs="Arial"/>
                <w:b/>
              </w:rPr>
            </w:pPr>
          </w:p>
          <w:p w14:paraId="676D4109" w14:textId="77777777" w:rsidR="00BE3AF5" w:rsidRPr="00BE3AF5" w:rsidRDefault="00BE3AF5" w:rsidP="00BE3AF5">
            <w:pPr>
              <w:spacing w:before="0" w:after="0" w:line="259" w:lineRule="auto"/>
              <w:rPr>
                <w:rFonts w:cs="Arial"/>
                <w:b/>
              </w:rPr>
            </w:pPr>
          </w:p>
        </w:tc>
      </w:tr>
      <w:tr w:rsidR="00BE3AF5" w:rsidRPr="00BE3AF5" w14:paraId="4C827DCB" w14:textId="77777777" w:rsidTr="004B1202">
        <w:trPr>
          <w:trHeight w:val="375"/>
        </w:trPr>
        <w:tc>
          <w:tcPr>
            <w:tcW w:w="2482" w:type="dxa"/>
          </w:tcPr>
          <w:p w14:paraId="680F0E27" w14:textId="77777777" w:rsidR="00BE3AF5" w:rsidRDefault="00BE3AF5" w:rsidP="00BE3AF5">
            <w:pPr>
              <w:spacing w:before="0" w:after="0" w:line="259" w:lineRule="auto"/>
              <w:jc w:val="left"/>
              <w:rPr>
                <w:rFonts w:cs="Arial"/>
                <w:b/>
              </w:rPr>
            </w:pPr>
            <w:r w:rsidRPr="00BE3AF5">
              <w:rPr>
                <w:rFonts w:cs="Arial"/>
                <w:b/>
              </w:rPr>
              <w:t>Contact details</w:t>
            </w:r>
          </w:p>
          <w:p w14:paraId="249ED20D" w14:textId="77777777" w:rsidR="00BE3AF5" w:rsidRPr="00BE3AF5" w:rsidRDefault="00BE3AF5" w:rsidP="00BE3AF5">
            <w:pPr>
              <w:spacing w:before="0" w:after="0" w:line="259" w:lineRule="auto"/>
              <w:jc w:val="left"/>
              <w:rPr>
                <w:rFonts w:cs="Arial"/>
                <w:b/>
              </w:rPr>
            </w:pPr>
          </w:p>
        </w:tc>
        <w:tc>
          <w:tcPr>
            <w:tcW w:w="7895" w:type="dxa"/>
          </w:tcPr>
          <w:p w14:paraId="7BECF511" w14:textId="77777777" w:rsidR="00BE3AF5" w:rsidRPr="00BE3AF5" w:rsidRDefault="00BE3AF5" w:rsidP="00BE3AF5">
            <w:pPr>
              <w:spacing w:before="0" w:after="0" w:line="259" w:lineRule="auto"/>
              <w:rPr>
                <w:rFonts w:cs="Arial"/>
                <w:b/>
              </w:rPr>
            </w:pPr>
            <w:r w:rsidRPr="00BE3AF5">
              <w:rPr>
                <w:rFonts w:cs="Arial"/>
                <w:b/>
              </w:rPr>
              <w:t>Email:                                                             Mobile:</w:t>
            </w:r>
          </w:p>
        </w:tc>
      </w:tr>
      <w:tr w:rsidR="00BE3AF5" w:rsidRPr="00BE3AF5" w14:paraId="33091558" w14:textId="77777777" w:rsidTr="004B1202">
        <w:trPr>
          <w:trHeight w:val="375"/>
        </w:trPr>
        <w:tc>
          <w:tcPr>
            <w:tcW w:w="2482" w:type="dxa"/>
          </w:tcPr>
          <w:p w14:paraId="4520AEE3" w14:textId="77777777" w:rsidR="00BE3AF5" w:rsidRDefault="00BE3AF5" w:rsidP="00BE3AF5">
            <w:pPr>
              <w:spacing w:before="0" w:after="0" w:line="259" w:lineRule="auto"/>
              <w:jc w:val="left"/>
              <w:rPr>
                <w:rFonts w:cs="Arial"/>
                <w:b/>
              </w:rPr>
            </w:pPr>
            <w:r w:rsidRPr="00BE3AF5">
              <w:rPr>
                <w:rFonts w:cs="Arial"/>
                <w:b/>
              </w:rPr>
              <w:t>Name of practice/service</w:t>
            </w:r>
          </w:p>
          <w:p w14:paraId="11E201A6" w14:textId="77777777" w:rsidR="00BE3AF5" w:rsidRPr="00BE3AF5" w:rsidRDefault="00BE3AF5" w:rsidP="00BE3AF5">
            <w:pPr>
              <w:spacing w:before="0" w:after="0" w:line="259" w:lineRule="auto"/>
              <w:jc w:val="left"/>
              <w:rPr>
                <w:rFonts w:cs="Arial"/>
                <w:b/>
              </w:rPr>
            </w:pPr>
          </w:p>
        </w:tc>
        <w:tc>
          <w:tcPr>
            <w:tcW w:w="7895" w:type="dxa"/>
          </w:tcPr>
          <w:p w14:paraId="26660636" w14:textId="77777777" w:rsidR="00BE3AF5" w:rsidRPr="00BE3AF5" w:rsidRDefault="00BE3AF5" w:rsidP="00BE3AF5">
            <w:pPr>
              <w:spacing w:before="0" w:after="0" w:line="259" w:lineRule="auto"/>
              <w:rPr>
                <w:rFonts w:cs="Arial"/>
                <w:b/>
              </w:rPr>
            </w:pPr>
          </w:p>
        </w:tc>
      </w:tr>
      <w:tr w:rsidR="00BE3AF5" w:rsidRPr="00BE3AF5" w14:paraId="150D8BBC" w14:textId="77777777" w:rsidTr="004B1202">
        <w:trPr>
          <w:trHeight w:val="375"/>
        </w:trPr>
        <w:tc>
          <w:tcPr>
            <w:tcW w:w="2482" w:type="dxa"/>
          </w:tcPr>
          <w:p w14:paraId="7E848EA2" w14:textId="77777777" w:rsidR="00BE3AF5" w:rsidRDefault="00BE3AF5" w:rsidP="00BE3AF5">
            <w:pPr>
              <w:spacing w:before="0" w:after="0" w:line="259" w:lineRule="auto"/>
              <w:jc w:val="left"/>
              <w:rPr>
                <w:rFonts w:cs="Arial"/>
                <w:b/>
              </w:rPr>
            </w:pPr>
            <w:r w:rsidRPr="00BE3AF5">
              <w:rPr>
                <w:rFonts w:cs="Arial"/>
                <w:b/>
              </w:rPr>
              <w:t>Contact details</w:t>
            </w:r>
          </w:p>
          <w:p w14:paraId="3E60C97F" w14:textId="77777777" w:rsidR="00BE3AF5" w:rsidRDefault="00BE3AF5" w:rsidP="00BE3AF5">
            <w:pPr>
              <w:spacing w:before="0" w:after="0" w:line="259" w:lineRule="auto"/>
              <w:jc w:val="left"/>
              <w:rPr>
                <w:rFonts w:cs="Arial"/>
                <w:b/>
              </w:rPr>
            </w:pPr>
          </w:p>
          <w:p w14:paraId="221EF5AA" w14:textId="77777777" w:rsidR="00BE3AF5" w:rsidRPr="00BE3AF5" w:rsidRDefault="00BE3AF5" w:rsidP="00BE3AF5">
            <w:pPr>
              <w:spacing w:before="0" w:after="0" w:line="259" w:lineRule="auto"/>
              <w:jc w:val="left"/>
              <w:rPr>
                <w:rFonts w:cs="Arial"/>
                <w:b/>
              </w:rPr>
            </w:pPr>
          </w:p>
        </w:tc>
        <w:tc>
          <w:tcPr>
            <w:tcW w:w="7895" w:type="dxa"/>
          </w:tcPr>
          <w:p w14:paraId="18C33D26" w14:textId="77777777" w:rsidR="00BE3AF5" w:rsidRPr="00BE3AF5" w:rsidRDefault="00BE3AF5" w:rsidP="00BE3AF5">
            <w:pPr>
              <w:spacing w:before="0" w:after="0" w:line="259" w:lineRule="auto"/>
              <w:rPr>
                <w:rFonts w:cs="Arial"/>
                <w:b/>
              </w:rPr>
            </w:pPr>
            <w:r w:rsidRPr="00BE3AF5">
              <w:rPr>
                <w:rFonts w:cs="Arial"/>
                <w:b/>
              </w:rPr>
              <w:t>Address:                                                         Tel No:</w:t>
            </w:r>
          </w:p>
        </w:tc>
      </w:tr>
      <w:tr w:rsidR="00BE3AF5" w:rsidRPr="00BE3AF5" w14:paraId="3066E807" w14:textId="77777777" w:rsidTr="004B1202">
        <w:trPr>
          <w:trHeight w:val="375"/>
        </w:trPr>
        <w:tc>
          <w:tcPr>
            <w:tcW w:w="2482" w:type="dxa"/>
          </w:tcPr>
          <w:p w14:paraId="43B6763A" w14:textId="77777777" w:rsidR="00BE3AF5" w:rsidRDefault="00BE3AF5" w:rsidP="00BE3AF5">
            <w:pPr>
              <w:spacing w:before="0" w:after="0" w:line="259" w:lineRule="auto"/>
              <w:jc w:val="left"/>
              <w:rPr>
                <w:rFonts w:cs="Arial"/>
                <w:b/>
              </w:rPr>
            </w:pPr>
            <w:r w:rsidRPr="00BE3AF5">
              <w:rPr>
                <w:rFonts w:cs="Arial"/>
                <w:b/>
              </w:rPr>
              <w:t>Name of line manager/prescribing lead/ Snr partner*</w:t>
            </w:r>
          </w:p>
          <w:p w14:paraId="49E25B1F" w14:textId="77777777" w:rsidR="00BE3AF5" w:rsidRPr="00BE3AF5" w:rsidRDefault="00BE3AF5" w:rsidP="00BE3AF5">
            <w:pPr>
              <w:spacing w:before="0" w:after="0" w:line="259" w:lineRule="auto"/>
              <w:jc w:val="left"/>
              <w:rPr>
                <w:rFonts w:cs="Arial"/>
                <w:b/>
              </w:rPr>
            </w:pPr>
          </w:p>
        </w:tc>
        <w:tc>
          <w:tcPr>
            <w:tcW w:w="7895" w:type="dxa"/>
            <w:tcBorders>
              <w:bottom w:val="single" w:sz="4" w:space="0" w:color="auto"/>
            </w:tcBorders>
          </w:tcPr>
          <w:p w14:paraId="0BCE9C1E" w14:textId="77777777" w:rsidR="00BE3AF5" w:rsidRPr="00BE3AF5" w:rsidRDefault="00BE3AF5" w:rsidP="00BE3AF5">
            <w:pPr>
              <w:spacing w:before="0" w:after="0" w:line="259" w:lineRule="auto"/>
              <w:rPr>
                <w:rFonts w:cs="Arial"/>
                <w:b/>
              </w:rPr>
            </w:pPr>
            <w:r w:rsidRPr="00BE3AF5">
              <w:rPr>
                <w:rFonts w:cs="Arial"/>
                <w:b/>
              </w:rPr>
              <w:t xml:space="preserve">                            </w:t>
            </w:r>
          </w:p>
          <w:p w14:paraId="1047D4F0" w14:textId="77777777" w:rsidR="00BE3AF5" w:rsidRPr="00BE3AF5" w:rsidRDefault="00BE3AF5" w:rsidP="00BE3AF5">
            <w:pPr>
              <w:spacing w:before="0" w:after="0" w:line="259" w:lineRule="auto"/>
              <w:rPr>
                <w:rFonts w:cs="Arial"/>
                <w:b/>
              </w:rPr>
            </w:pPr>
          </w:p>
          <w:p w14:paraId="2EC0AAD8" w14:textId="77777777" w:rsidR="00BE3AF5" w:rsidRPr="00BE3AF5" w:rsidRDefault="00BE3AF5" w:rsidP="00BE3AF5">
            <w:pPr>
              <w:spacing w:before="0" w:after="0" w:line="259" w:lineRule="auto"/>
              <w:rPr>
                <w:rFonts w:cs="Arial"/>
                <w:b/>
              </w:rPr>
            </w:pPr>
            <w:r w:rsidRPr="00BE3AF5">
              <w:rPr>
                <w:rFonts w:cs="Arial"/>
                <w:b/>
              </w:rPr>
              <w:t>Tel No:</w:t>
            </w:r>
          </w:p>
        </w:tc>
      </w:tr>
    </w:tbl>
    <w:p w14:paraId="76E019EC" w14:textId="77777777" w:rsidR="009F1ECD" w:rsidRDefault="00BE3AF5" w:rsidP="00681E74">
      <w:pPr>
        <w:spacing w:before="0" w:after="0" w:line="259" w:lineRule="auto"/>
        <w:rPr>
          <w:rFonts w:cs="Arial"/>
          <w:i/>
        </w:rPr>
      </w:pPr>
      <w:r w:rsidRPr="00BE3AF5">
        <w:rPr>
          <w:rFonts w:cs="Arial"/>
          <w:i/>
        </w:rPr>
        <w:t>*delete as appropriate</w:t>
      </w:r>
    </w:p>
    <w:p w14:paraId="0E4F7A95" w14:textId="77777777" w:rsidR="00BE3AF5" w:rsidRDefault="00BE3AF5" w:rsidP="00681E74">
      <w:pPr>
        <w:spacing w:before="0" w:after="0" w:line="259" w:lineRule="auto"/>
        <w:rPr>
          <w:rFonts w:cs="Arial"/>
          <w:i/>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3"/>
        <w:gridCol w:w="2410"/>
      </w:tblGrid>
      <w:tr w:rsidR="00BE3AF5" w:rsidRPr="00BE3AF5" w14:paraId="6A0458DC" w14:textId="77777777" w:rsidTr="005902C6">
        <w:tc>
          <w:tcPr>
            <w:tcW w:w="7933" w:type="dxa"/>
            <w:shd w:val="clear" w:color="auto" w:fill="DEEAF6"/>
          </w:tcPr>
          <w:p w14:paraId="1A1E65BF" w14:textId="77777777" w:rsidR="00BE3AF5" w:rsidRPr="00BE3AF5" w:rsidRDefault="00BE3AF5" w:rsidP="00BE3AF5">
            <w:pPr>
              <w:spacing w:before="0" w:after="0" w:line="259" w:lineRule="auto"/>
              <w:rPr>
                <w:rFonts w:cs="Arial"/>
              </w:rPr>
            </w:pPr>
            <w:r w:rsidRPr="00BE3AF5">
              <w:rPr>
                <w:rFonts w:cs="Arial"/>
                <w:b/>
              </w:rPr>
              <w:t>Process</w:t>
            </w:r>
          </w:p>
        </w:tc>
        <w:tc>
          <w:tcPr>
            <w:tcW w:w="2410" w:type="dxa"/>
            <w:shd w:val="clear" w:color="auto" w:fill="DEEAF6"/>
          </w:tcPr>
          <w:p w14:paraId="1B320C08" w14:textId="77777777" w:rsidR="00BE3AF5" w:rsidRPr="00BE3AF5" w:rsidRDefault="00BE3AF5" w:rsidP="00BE3AF5">
            <w:pPr>
              <w:spacing w:before="0" w:after="0" w:line="259" w:lineRule="auto"/>
              <w:rPr>
                <w:rFonts w:cs="Arial"/>
                <w:b/>
              </w:rPr>
            </w:pPr>
            <w:r w:rsidRPr="00BE3AF5">
              <w:rPr>
                <w:rFonts w:cs="Arial"/>
                <w:b/>
              </w:rPr>
              <w:t>Signature &amp; date completed</w:t>
            </w:r>
          </w:p>
        </w:tc>
      </w:tr>
      <w:tr w:rsidR="00BE3AF5" w:rsidRPr="00BE3AF5" w14:paraId="68531458" w14:textId="77777777" w:rsidTr="004B1202">
        <w:tc>
          <w:tcPr>
            <w:tcW w:w="7933" w:type="dxa"/>
            <w:shd w:val="clear" w:color="auto" w:fill="auto"/>
          </w:tcPr>
          <w:p w14:paraId="43D1D47A" w14:textId="77777777" w:rsidR="00BE3AF5" w:rsidRPr="00BE3AF5" w:rsidRDefault="00BE3AF5" w:rsidP="00BE3AF5">
            <w:pPr>
              <w:spacing w:before="0" w:after="0" w:line="259" w:lineRule="auto"/>
              <w:rPr>
                <w:rFonts w:cs="Arial"/>
              </w:rPr>
            </w:pPr>
            <w:r w:rsidRPr="00BE3AF5">
              <w:rPr>
                <w:rFonts w:cs="Arial"/>
              </w:rPr>
              <w:t>Service lead confirms request to give access to prescribing budget and accepts responsibility for verifying HR processes and confirming qualifications and scope of practice.</w:t>
            </w:r>
          </w:p>
        </w:tc>
        <w:tc>
          <w:tcPr>
            <w:tcW w:w="2410" w:type="dxa"/>
            <w:shd w:val="clear" w:color="auto" w:fill="auto"/>
          </w:tcPr>
          <w:p w14:paraId="63D11D04" w14:textId="77777777" w:rsidR="00BE3AF5" w:rsidRPr="00BE3AF5" w:rsidRDefault="00BE3AF5" w:rsidP="00BE3AF5">
            <w:pPr>
              <w:spacing w:before="0" w:after="0" w:line="259" w:lineRule="auto"/>
              <w:rPr>
                <w:rFonts w:cs="Arial"/>
              </w:rPr>
            </w:pPr>
          </w:p>
        </w:tc>
      </w:tr>
      <w:tr w:rsidR="00BE3AF5" w:rsidRPr="00BE3AF5" w14:paraId="4D685227" w14:textId="77777777" w:rsidTr="004B1202">
        <w:tc>
          <w:tcPr>
            <w:tcW w:w="7933" w:type="dxa"/>
            <w:shd w:val="clear" w:color="auto" w:fill="auto"/>
          </w:tcPr>
          <w:p w14:paraId="56405167" w14:textId="77777777" w:rsidR="00BE3AF5" w:rsidRPr="00BE3AF5" w:rsidRDefault="00BE3AF5" w:rsidP="00BE3AF5">
            <w:pPr>
              <w:spacing w:before="0" w:after="0" w:line="259" w:lineRule="auto"/>
              <w:rPr>
                <w:rFonts w:cs="Arial"/>
              </w:rPr>
            </w:pPr>
            <w:r w:rsidRPr="00BE3AF5">
              <w:rPr>
                <w:rFonts w:cs="Arial"/>
              </w:rPr>
              <w:t>Non-Medical prescriber’s registration with professional regulatory body is annotated as a prescriber</w:t>
            </w:r>
          </w:p>
        </w:tc>
        <w:tc>
          <w:tcPr>
            <w:tcW w:w="2410" w:type="dxa"/>
            <w:shd w:val="clear" w:color="auto" w:fill="auto"/>
          </w:tcPr>
          <w:p w14:paraId="7C7FC9A9" w14:textId="77777777" w:rsidR="00BE3AF5" w:rsidRPr="00BE3AF5" w:rsidRDefault="00BE3AF5" w:rsidP="00BE3AF5">
            <w:pPr>
              <w:spacing w:before="0" w:after="0" w:line="259" w:lineRule="auto"/>
              <w:rPr>
                <w:rFonts w:cs="Arial"/>
              </w:rPr>
            </w:pPr>
          </w:p>
        </w:tc>
      </w:tr>
      <w:tr w:rsidR="00BE3AF5" w:rsidRPr="00BE3AF5" w14:paraId="632CF70A" w14:textId="77777777" w:rsidTr="005902C6">
        <w:trPr>
          <w:trHeight w:val="540"/>
        </w:trPr>
        <w:tc>
          <w:tcPr>
            <w:tcW w:w="7933" w:type="dxa"/>
            <w:shd w:val="clear" w:color="auto" w:fill="DEEAF6"/>
          </w:tcPr>
          <w:p w14:paraId="36248274" w14:textId="77777777" w:rsidR="00BE3AF5" w:rsidRPr="00BE3AF5" w:rsidRDefault="00BE3AF5" w:rsidP="00BE3AF5">
            <w:pPr>
              <w:spacing w:before="0" w:after="0" w:line="259" w:lineRule="auto"/>
              <w:rPr>
                <w:rFonts w:cs="Arial"/>
              </w:rPr>
            </w:pPr>
            <w:r w:rsidRPr="00BE3AF5">
              <w:rPr>
                <w:rFonts w:cs="Arial"/>
                <w:b/>
              </w:rPr>
              <w:t>Practitioner completes and provides documentation to Medicines Optimisation Team</w:t>
            </w:r>
          </w:p>
        </w:tc>
        <w:tc>
          <w:tcPr>
            <w:tcW w:w="2410" w:type="dxa"/>
            <w:shd w:val="clear" w:color="auto" w:fill="DEEAF6"/>
          </w:tcPr>
          <w:p w14:paraId="31AD5F47" w14:textId="77777777" w:rsidR="00BE3AF5" w:rsidRPr="00BE3AF5" w:rsidRDefault="00BE3AF5" w:rsidP="00BE3AF5">
            <w:pPr>
              <w:spacing w:before="0" w:after="0" w:line="259" w:lineRule="auto"/>
              <w:rPr>
                <w:rFonts w:cs="Arial"/>
              </w:rPr>
            </w:pPr>
          </w:p>
        </w:tc>
      </w:tr>
      <w:tr w:rsidR="00BE3AF5" w:rsidRPr="00BE3AF5" w14:paraId="65EAB4CF" w14:textId="77777777" w:rsidTr="004B1202">
        <w:trPr>
          <w:trHeight w:val="324"/>
        </w:trPr>
        <w:tc>
          <w:tcPr>
            <w:tcW w:w="7933" w:type="dxa"/>
            <w:shd w:val="clear" w:color="auto" w:fill="FFFFFF"/>
          </w:tcPr>
          <w:p w14:paraId="4F0E2914" w14:textId="77777777" w:rsidR="00BE3AF5" w:rsidRPr="00BE3AF5" w:rsidRDefault="00BE3AF5" w:rsidP="00BE3AF5">
            <w:pPr>
              <w:spacing w:before="0" w:after="0" w:line="259" w:lineRule="auto"/>
              <w:rPr>
                <w:rFonts w:cs="Arial"/>
              </w:rPr>
            </w:pPr>
            <w:r w:rsidRPr="00BE3AF5">
              <w:rPr>
                <w:rFonts w:cs="Arial"/>
              </w:rPr>
              <w:t>Non-medical prescriber assurance form</w:t>
            </w:r>
            <w:r w:rsidR="005B5490">
              <w:rPr>
                <w:rFonts w:cs="Arial"/>
              </w:rPr>
              <w:t xml:space="preserve"> </w:t>
            </w:r>
            <w:r w:rsidRPr="00BE3AF5">
              <w:rPr>
                <w:rFonts w:cs="Arial"/>
              </w:rPr>
              <w:t>-</w:t>
            </w:r>
            <w:r w:rsidR="005B5490">
              <w:rPr>
                <w:rFonts w:cs="Arial"/>
              </w:rPr>
              <w:t xml:space="preserve"> </w:t>
            </w:r>
            <w:r w:rsidR="007A0102">
              <w:rPr>
                <w:rFonts w:cs="Arial"/>
              </w:rPr>
              <w:t>Appendix II</w:t>
            </w:r>
            <w:r w:rsidR="00DB5B34">
              <w:rPr>
                <w:rFonts w:cs="Arial"/>
              </w:rPr>
              <w:t>I</w:t>
            </w:r>
          </w:p>
        </w:tc>
        <w:tc>
          <w:tcPr>
            <w:tcW w:w="2410" w:type="dxa"/>
            <w:shd w:val="clear" w:color="auto" w:fill="FFFFFF"/>
          </w:tcPr>
          <w:p w14:paraId="6D4AB410" w14:textId="77777777" w:rsidR="00BE3AF5" w:rsidRPr="00BE3AF5" w:rsidRDefault="00BE3AF5" w:rsidP="00BE3AF5">
            <w:pPr>
              <w:spacing w:before="0" w:after="0" w:line="259" w:lineRule="auto"/>
              <w:rPr>
                <w:rFonts w:cs="Arial"/>
              </w:rPr>
            </w:pPr>
          </w:p>
        </w:tc>
      </w:tr>
      <w:tr w:rsidR="00BE3AF5" w:rsidRPr="00BE3AF5" w14:paraId="4D85A472" w14:textId="77777777" w:rsidTr="004B1202">
        <w:trPr>
          <w:trHeight w:val="270"/>
        </w:trPr>
        <w:tc>
          <w:tcPr>
            <w:tcW w:w="7933" w:type="dxa"/>
            <w:shd w:val="clear" w:color="auto" w:fill="auto"/>
          </w:tcPr>
          <w:p w14:paraId="782751B9" w14:textId="77777777" w:rsidR="00BE3AF5" w:rsidRPr="00BE3AF5" w:rsidRDefault="00BE3AF5" w:rsidP="00BE3AF5">
            <w:pPr>
              <w:spacing w:before="0" w:after="0" w:line="259" w:lineRule="auto"/>
              <w:rPr>
                <w:rFonts w:cs="Arial"/>
              </w:rPr>
            </w:pPr>
            <w:r w:rsidRPr="00BE3AF5">
              <w:rPr>
                <w:rFonts w:cs="Arial"/>
              </w:rPr>
              <w:t>Scope of Practice -</w:t>
            </w:r>
            <w:r w:rsidR="005B5490">
              <w:rPr>
                <w:rFonts w:cs="Arial"/>
              </w:rPr>
              <w:t xml:space="preserve"> </w:t>
            </w:r>
            <w:r w:rsidR="00DB5B34">
              <w:rPr>
                <w:rFonts w:cs="Arial"/>
              </w:rPr>
              <w:t>Appendix IV</w:t>
            </w:r>
          </w:p>
        </w:tc>
        <w:tc>
          <w:tcPr>
            <w:tcW w:w="2410" w:type="dxa"/>
            <w:shd w:val="clear" w:color="auto" w:fill="auto"/>
          </w:tcPr>
          <w:p w14:paraId="17770EF6" w14:textId="77777777" w:rsidR="00BE3AF5" w:rsidRPr="00BE3AF5" w:rsidRDefault="00BE3AF5" w:rsidP="00BE3AF5">
            <w:pPr>
              <w:spacing w:before="0" w:after="0" w:line="259" w:lineRule="auto"/>
              <w:rPr>
                <w:rFonts w:cs="Arial"/>
              </w:rPr>
            </w:pPr>
          </w:p>
        </w:tc>
      </w:tr>
      <w:tr w:rsidR="00BE3AF5" w:rsidRPr="00BE3AF5" w14:paraId="7EA03754" w14:textId="77777777" w:rsidTr="004B1202">
        <w:trPr>
          <w:trHeight w:val="230"/>
        </w:trPr>
        <w:tc>
          <w:tcPr>
            <w:tcW w:w="7933" w:type="dxa"/>
            <w:shd w:val="clear" w:color="auto" w:fill="auto"/>
          </w:tcPr>
          <w:p w14:paraId="1B028248" w14:textId="77777777" w:rsidR="00BE3AF5" w:rsidRPr="00BE3AF5" w:rsidRDefault="00BE3AF5" w:rsidP="00BE3AF5">
            <w:pPr>
              <w:spacing w:before="0" w:after="0" w:line="259" w:lineRule="auto"/>
              <w:rPr>
                <w:rFonts w:cs="Arial"/>
              </w:rPr>
            </w:pPr>
            <w:r w:rsidRPr="00BE3AF5">
              <w:rPr>
                <w:rFonts w:cs="Arial"/>
              </w:rPr>
              <w:t>NHSBSA registration form</w:t>
            </w:r>
            <w:r w:rsidR="005B5490">
              <w:rPr>
                <w:rFonts w:cs="Arial"/>
              </w:rPr>
              <w:t xml:space="preserve"> </w:t>
            </w:r>
            <w:r w:rsidRPr="00BE3AF5">
              <w:rPr>
                <w:rFonts w:cs="Arial"/>
              </w:rPr>
              <w:t>-</w:t>
            </w:r>
            <w:r w:rsidR="005B5490">
              <w:rPr>
                <w:rFonts w:cs="Arial"/>
              </w:rPr>
              <w:t xml:space="preserve"> </w:t>
            </w:r>
            <w:r w:rsidR="007A0102">
              <w:rPr>
                <w:rFonts w:cs="Arial"/>
              </w:rPr>
              <w:t>Appendix V</w:t>
            </w:r>
          </w:p>
        </w:tc>
        <w:tc>
          <w:tcPr>
            <w:tcW w:w="2410" w:type="dxa"/>
            <w:shd w:val="clear" w:color="auto" w:fill="auto"/>
          </w:tcPr>
          <w:p w14:paraId="4A4CC7F7" w14:textId="77777777" w:rsidR="00BE3AF5" w:rsidRPr="00BE3AF5" w:rsidRDefault="00BE3AF5" w:rsidP="00BE3AF5">
            <w:pPr>
              <w:spacing w:before="0" w:after="0" w:line="259" w:lineRule="auto"/>
              <w:rPr>
                <w:rFonts w:cs="Arial"/>
              </w:rPr>
            </w:pPr>
          </w:p>
        </w:tc>
      </w:tr>
      <w:tr w:rsidR="00BE3AF5" w:rsidRPr="00BE3AF5" w14:paraId="4112AE45" w14:textId="77777777" w:rsidTr="005902C6">
        <w:tc>
          <w:tcPr>
            <w:tcW w:w="7933" w:type="dxa"/>
            <w:shd w:val="clear" w:color="auto" w:fill="DEEAF6"/>
          </w:tcPr>
          <w:p w14:paraId="6377813B" w14:textId="77777777" w:rsidR="00BE3AF5" w:rsidRPr="00BE3AF5" w:rsidRDefault="00BE3AF5" w:rsidP="00BE3AF5">
            <w:pPr>
              <w:spacing w:before="0" w:after="0" w:line="259" w:lineRule="auto"/>
              <w:rPr>
                <w:rFonts w:cs="Arial"/>
                <w:b/>
              </w:rPr>
            </w:pPr>
            <w:r w:rsidRPr="00BE3AF5">
              <w:rPr>
                <w:rFonts w:cs="Arial"/>
                <w:b/>
              </w:rPr>
              <w:t xml:space="preserve">NMP to confirm knowledge and understanding of </w:t>
            </w:r>
          </w:p>
        </w:tc>
        <w:tc>
          <w:tcPr>
            <w:tcW w:w="2410" w:type="dxa"/>
            <w:shd w:val="clear" w:color="auto" w:fill="DEEAF6"/>
          </w:tcPr>
          <w:p w14:paraId="7AA5AE0A" w14:textId="77777777" w:rsidR="00BE3AF5" w:rsidRPr="00BE3AF5" w:rsidRDefault="00BE3AF5" w:rsidP="00BE3AF5">
            <w:pPr>
              <w:spacing w:before="0" w:after="0" w:line="259" w:lineRule="auto"/>
              <w:rPr>
                <w:rFonts w:cs="Arial"/>
              </w:rPr>
            </w:pPr>
          </w:p>
        </w:tc>
      </w:tr>
      <w:tr w:rsidR="00BE3AF5" w:rsidRPr="00BE3AF5" w14:paraId="306D2815" w14:textId="77777777" w:rsidTr="004B1202">
        <w:tc>
          <w:tcPr>
            <w:tcW w:w="7933" w:type="dxa"/>
            <w:shd w:val="clear" w:color="auto" w:fill="auto"/>
          </w:tcPr>
          <w:p w14:paraId="04B451A1" w14:textId="77777777" w:rsidR="00BE3AF5" w:rsidRPr="00BE3AF5" w:rsidRDefault="00BE3AF5" w:rsidP="00BE3AF5">
            <w:pPr>
              <w:spacing w:before="0" w:after="0" w:line="259" w:lineRule="auto"/>
              <w:rPr>
                <w:rFonts w:cs="Arial"/>
              </w:rPr>
            </w:pPr>
            <w:r w:rsidRPr="00BE3AF5">
              <w:rPr>
                <w:rFonts w:cs="Arial"/>
              </w:rPr>
              <w:t>NMP Prescribing policy</w:t>
            </w:r>
          </w:p>
        </w:tc>
        <w:tc>
          <w:tcPr>
            <w:tcW w:w="2410" w:type="dxa"/>
            <w:shd w:val="clear" w:color="auto" w:fill="auto"/>
          </w:tcPr>
          <w:p w14:paraId="14AC48AF" w14:textId="77777777" w:rsidR="00BE3AF5" w:rsidRPr="00BE3AF5" w:rsidRDefault="00BE3AF5" w:rsidP="00BE3AF5">
            <w:pPr>
              <w:spacing w:before="0" w:after="0" w:line="259" w:lineRule="auto"/>
              <w:rPr>
                <w:rFonts w:cs="Arial"/>
              </w:rPr>
            </w:pPr>
          </w:p>
        </w:tc>
      </w:tr>
      <w:tr w:rsidR="00BE3AF5" w:rsidRPr="00BE3AF5" w14:paraId="3C2F605B" w14:textId="77777777" w:rsidTr="004B1202">
        <w:tc>
          <w:tcPr>
            <w:tcW w:w="7933" w:type="dxa"/>
            <w:shd w:val="clear" w:color="auto" w:fill="auto"/>
          </w:tcPr>
          <w:p w14:paraId="66A7848B" w14:textId="77777777" w:rsidR="00BE3AF5" w:rsidRPr="00BE3AF5" w:rsidRDefault="005B5490" w:rsidP="00BE3AF5">
            <w:pPr>
              <w:spacing w:before="0" w:after="0" w:line="259" w:lineRule="auto"/>
              <w:rPr>
                <w:rFonts w:cs="Arial"/>
              </w:rPr>
            </w:pPr>
            <w:r>
              <w:rPr>
                <w:rFonts w:cs="Arial"/>
              </w:rPr>
              <w:t xml:space="preserve">Medicines Optimisation </w:t>
            </w:r>
            <w:r w:rsidR="00BE3AF5" w:rsidRPr="00BE3AF5">
              <w:rPr>
                <w:rFonts w:cs="Arial"/>
              </w:rPr>
              <w:t>intranet page, guidelines and policies</w:t>
            </w:r>
          </w:p>
        </w:tc>
        <w:tc>
          <w:tcPr>
            <w:tcW w:w="2410" w:type="dxa"/>
            <w:shd w:val="clear" w:color="auto" w:fill="auto"/>
          </w:tcPr>
          <w:p w14:paraId="4394BD4F" w14:textId="77777777" w:rsidR="00BE3AF5" w:rsidRPr="00BE3AF5" w:rsidRDefault="00BE3AF5" w:rsidP="00BE3AF5">
            <w:pPr>
              <w:spacing w:before="0" w:after="0" w:line="259" w:lineRule="auto"/>
              <w:rPr>
                <w:rFonts w:cs="Arial"/>
              </w:rPr>
            </w:pPr>
          </w:p>
        </w:tc>
      </w:tr>
      <w:tr w:rsidR="00BE3AF5" w:rsidRPr="00BE3AF5" w14:paraId="2A5D5DEC" w14:textId="77777777" w:rsidTr="004B1202">
        <w:trPr>
          <w:trHeight w:val="1960"/>
        </w:trPr>
        <w:tc>
          <w:tcPr>
            <w:tcW w:w="7933" w:type="dxa"/>
            <w:shd w:val="clear" w:color="auto" w:fill="auto"/>
          </w:tcPr>
          <w:p w14:paraId="0090690A" w14:textId="77777777" w:rsidR="00BE3AF5" w:rsidRPr="00BE3AF5" w:rsidRDefault="00BE3AF5" w:rsidP="004A15C9">
            <w:pPr>
              <w:numPr>
                <w:ilvl w:val="0"/>
                <w:numId w:val="28"/>
              </w:numPr>
              <w:spacing w:before="0" w:after="0" w:line="259" w:lineRule="auto"/>
              <w:rPr>
                <w:rFonts w:cs="Arial"/>
              </w:rPr>
            </w:pPr>
            <w:r w:rsidRPr="00BE3AF5">
              <w:rPr>
                <w:rFonts w:cs="Arial"/>
              </w:rPr>
              <w:t xml:space="preserve">The </w:t>
            </w:r>
            <w:hyperlink r:id="rId51" w:history="1">
              <w:r w:rsidRPr="00BE3AF5">
                <w:rPr>
                  <w:rStyle w:val="Hyperlink"/>
                  <w:rFonts w:cs="Arial"/>
                </w:rPr>
                <w:t xml:space="preserve">competency framework </w:t>
              </w:r>
            </w:hyperlink>
            <w:r w:rsidRPr="00BE3AF5">
              <w:rPr>
                <w:rFonts w:cs="Arial"/>
              </w:rPr>
              <w:t xml:space="preserve">for all prescribers </w:t>
            </w:r>
          </w:p>
          <w:p w14:paraId="3F1A6047" w14:textId="77777777" w:rsidR="00BE3AF5" w:rsidRPr="00BE3AF5" w:rsidRDefault="00CF2869" w:rsidP="004A15C9">
            <w:pPr>
              <w:numPr>
                <w:ilvl w:val="0"/>
                <w:numId w:val="28"/>
              </w:numPr>
              <w:spacing w:before="0" w:after="0" w:line="259" w:lineRule="auto"/>
              <w:rPr>
                <w:rFonts w:cs="Arial"/>
              </w:rPr>
            </w:pPr>
            <w:hyperlink r:id="rId52" w:history="1">
              <w:r w:rsidR="00BE3AF5" w:rsidRPr="00BE3AF5">
                <w:rPr>
                  <w:rStyle w:val="Hyperlink"/>
                  <w:rFonts w:cs="Arial"/>
                </w:rPr>
                <w:t xml:space="preserve"> The GMC guidance: Good practice in prescribing and managing medicines and devices </w:t>
              </w:r>
            </w:hyperlink>
          </w:p>
          <w:p w14:paraId="71EC4DBF" w14:textId="77777777" w:rsidR="00BE3AF5" w:rsidRPr="00BE3AF5" w:rsidRDefault="00BE3AF5" w:rsidP="004A15C9">
            <w:pPr>
              <w:numPr>
                <w:ilvl w:val="0"/>
                <w:numId w:val="28"/>
              </w:numPr>
              <w:spacing w:before="0" w:after="0" w:line="259" w:lineRule="auto"/>
              <w:rPr>
                <w:rFonts w:cs="Arial"/>
              </w:rPr>
            </w:pPr>
            <w:r w:rsidRPr="00BE3AF5">
              <w:rPr>
                <w:rFonts w:cs="Arial"/>
              </w:rPr>
              <w:t xml:space="preserve">The BNF  </w:t>
            </w:r>
            <w:hyperlink r:id="rId53" w:history="1">
              <w:r w:rsidRPr="00BE3AF5">
                <w:rPr>
                  <w:rStyle w:val="Hyperlink"/>
                  <w:rFonts w:cs="Arial"/>
                </w:rPr>
                <w:t>guidance on prescribing</w:t>
              </w:r>
            </w:hyperlink>
          </w:p>
          <w:p w14:paraId="116F8868" w14:textId="77777777" w:rsidR="00BE3AF5" w:rsidRPr="00BE3AF5" w:rsidRDefault="00BE3AF5" w:rsidP="00BE3AF5">
            <w:pPr>
              <w:spacing w:before="0" w:after="0" w:line="259" w:lineRule="auto"/>
              <w:rPr>
                <w:rFonts w:cs="Arial"/>
              </w:rPr>
            </w:pPr>
          </w:p>
        </w:tc>
        <w:tc>
          <w:tcPr>
            <w:tcW w:w="2410" w:type="dxa"/>
            <w:shd w:val="clear" w:color="auto" w:fill="auto"/>
          </w:tcPr>
          <w:p w14:paraId="7ED0C688" w14:textId="77777777" w:rsidR="00BE3AF5" w:rsidRPr="00BE3AF5" w:rsidRDefault="00BE3AF5" w:rsidP="00BE3AF5">
            <w:pPr>
              <w:spacing w:before="0" w:after="0" w:line="259" w:lineRule="auto"/>
              <w:rPr>
                <w:rFonts w:cs="Arial"/>
              </w:rPr>
            </w:pPr>
          </w:p>
        </w:tc>
      </w:tr>
    </w:tbl>
    <w:p w14:paraId="5AE8ECCA" w14:textId="77777777" w:rsidR="005B5490" w:rsidRDefault="005B5490" w:rsidP="00681E74">
      <w:pPr>
        <w:spacing w:before="0" w:after="0" w:line="259" w:lineRule="auto"/>
        <w:rPr>
          <w:rFonts w:cs="Arial"/>
        </w:rPr>
      </w:pPr>
    </w:p>
    <w:p w14:paraId="34D0FB38" w14:textId="77777777" w:rsidR="00BE3AF5" w:rsidRDefault="005B5490" w:rsidP="005B5490">
      <w:pPr>
        <w:rPr>
          <w:b/>
          <w:color w:val="2F5496"/>
        </w:rPr>
      </w:pPr>
      <w:r>
        <w:br w:type="page"/>
      </w:r>
      <w:r w:rsidRPr="005B5490">
        <w:rPr>
          <w:b/>
          <w:color w:val="2F5496"/>
        </w:rPr>
        <w:lastRenderedPageBreak/>
        <w:t>Appendix I</w:t>
      </w:r>
      <w:r w:rsidR="0024026B">
        <w:rPr>
          <w:b/>
          <w:color w:val="2F5496"/>
        </w:rPr>
        <w:t>I</w:t>
      </w:r>
      <w:r w:rsidR="00BD7F56">
        <w:rPr>
          <w:b/>
          <w:color w:val="2F5496"/>
        </w:rPr>
        <w:t>I</w:t>
      </w:r>
      <w:r>
        <w:rPr>
          <w:b/>
          <w:color w:val="2F5496"/>
        </w:rPr>
        <w:t xml:space="preserve"> continued</w:t>
      </w:r>
      <w:r w:rsidRPr="005B5490">
        <w:rPr>
          <w:b/>
          <w:color w:val="2F5496"/>
        </w:rPr>
        <w:t>: Non-Medical Prescribers Registration Assurance Form</w:t>
      </w:r>
    </w:p>
    <w:p w14:paraId="50425428" w14:textId="77777777" w:rsidR="005B5490" w:rsidRPr="005B5490" w:rsidRDefault="005B5490" w:rsidP="005B5490">
      <w:pPr>
        <w:rPr>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6124"/>
      </w:tblGrid>
      <w:tr w:rsidR="005B5490" w:rsidRPr="005B5490" w14:paraId="60045DD3" w14:textId="77777777" w:rsidTr="004B1202">
        <w:trPr>
          <w:trHeight w:val="585"/>
        </w:trPr>
        <w:tc>
          <w:tcPr>
            <w:tcW w:w="3936" w:type="dxa"/>
          </w:tcPr>
          <w:p w14:paraId="1BA360F2" w14:textId="77777777" w:rsidR="005B5490" w:rsidRPr="005B5490" w:rsidRDefault="005B5490" w:rsidP="005B5490">
            <w:pPr>
              <w:spacing w:before="0" w:after="0" w:line="259" w:lineRule="auto"/>
              <w:rPr>
                <w:rFonts w:cs="Arial"/>
                <w:b/>
              </w:rPr>
            </w:pPr>
            <w:r w:rsidRPr="005B5490">
              <w:rPr>
                <w:rFonts w:cs="Arial"/>
                <w:b/>
              </w:rPr>
              <w:t>Name of person completing the form</w:t>
            </w:r>
          </w:p>
        </w:tc>
        <w:tc>
          <w:tcPr>
            <w:tcW w:w="6124" w:type="dxa"/>
          </w:tcPr>
          <w:p w14:paraId="65CAD24B" w14:textId="77777777" w:rsidR="005B5490" w:rsidRPr="005B5490" w:rsidRDefault="005B5490" w:rsidP="005B5490">
            <w:pPr>
              <w:spacing w:before="0" w:after="0" w:line="259" w:lineRule="auto"/>
              <w:rPr>
                <w:rFonts w:cs="Arial"/>
                <w:b/>
              </w:rPr>
            </w:pPr>
          </w:p>
          <w:p w14:paraId="30F271CC" w14:textId="77777777" w:rsidR="005B5490" w:rsidRPr="005B5490" w:rsidRDefault="005B5490" w:rsidP="005B5490">
            <w:pPr>
              <w:spacing w:before="0" w:after="0" w:line="259" w:lineRule="auto"/>
              <w:rPr>
                <w:rFonts w:cs="Arial"/>
                <w:b/>
              </w:rPr>
            </w:pPr>
          </w:p>
        </w:tc>
      </w:tr>
      <w:tr w:rsidR="005B5490" w:rsidRPr="005B5490" w14:paraId="51144682" w14:textId="77777777" w:rsidTr="004B1202">
        <w:trPr>
          <w:trHeight w:val="369"/>
        </w:trPr>
        <w:tc>
          <w:tcPr>
            <w:tcW w:w="3936" w:type="dxa"/>
          </w:tcPr>
          <w:p w14:paraId="229042C4" w14:textId="77777777" w:rsidR="005B5490" w:rsidRPr="005B5490" w:rsidRDefault="005B5490" w:rsidP="005B5490">
            <w:pPr>
              <w:spacing w:before="0" w:after="0" w:line="259" w:lineRule="auto"/>
              <w:rPr>
                <w:rFonts w:cs="Arial"/>
                <w:b/>
              </w:rPr>
            </w:pPr>
            <w:r w:rsidRPr="005B5490">
              <w:rPr>
                <w:rFonts w:cs="Arial"/>
                <w:b/>
              </w:rPr>
              <w:t>Signature</w:t>
            </w:r>
          </w:p>
        </w:tc>
        <w:tc>
          <w:tcPr>
            <w:tcW w:w="6124" w:type="dxa"/>
          </w:tcPr>
          <w:p w14:paraId="135E2E40" w14:textId="77777777" w:rsidR="005B5490" w:rsidRPr="005B5490" w:rsidRDefault="005B5490" w:rsidP="005B5490">
            <w:pPr>
              <w:spacing w:before="0" w:after="0" w:line="259" w:lineRule="auto"/>
              <w:rPr>
                <w:rFonts w:cs="Arial"/>
                <w:b/>
              </w:rPr>
            </w:pPr>
          </w:p>
          <w:p w14:paraId="1F2106F2" w14:textId="77777777" w:rsidR="005B5490" w:rsidRPr="005B5490" w:rsidRDefault="005B5490" w:rsidP="005B5490">
            <w:pPr>
              <w:spacing w:before="0" w:after="0" w:line="259" w:lineRule="auto"/>
              <w:rPr>
                <w:rFonts w:cs="Arial"/>
                <w:b/>
              </w:rPr>
            </w:pPr>
          </w:p>
        </w:tc>
      </w:tr>
      <w:tr w:rsidR="005B5490" w:rsidRPr="005B5490" w14:paraId="5BF6902D" w14:textId="77777777" w:rsidTr="004B1202">
        <w:trPr>
          <w:trHeight w:val="619"/>
        </w:trPr>
        <w:tc>
          <w:tcPr>
            <w:tcW w:w="3936" w:type="dxa"/>
          </w:tcPr>
          <w:p w14:paraId="11E1C5D7" w14:textId="77777777" w:rsidR="005B5490" w:rsidRPr="005B5490" w:rsidRDefault="005B5490" w:rsidP="005B5490">
            <w:pPr>
              <w:spacing w:before="0" w:after="0" w:line="259" w:lineRule="auto"/>
              <w:rPr>
                <w:rFonts w:cs="Arial"/>
                <w:b/>
              </w:rPr>
            </w:pPr>
            <w:r w:rsidRPr="005B5490">
              <w:rPr>
                <w:rFonts w:cs="Arial"/>
                <w:b/>
              </w:rPr>
              <w:t>Title and email</w:t>
            </w:r>
          </w:p>
        </w:tc>
        <w:tc>
          <w:tcPr>
            <w:tcW w:w="6124" w:type="dxa"/>
          </w:tcPr>
          <w:p w14:paraId="1D6F9011" w14:textId="77777777" w:rsidR="005B5490" w:rsidRPr="005B5490" w:rsidRDefault="005B5490" w:rsidP="005B5490">
            <w:pPr>
              <w:spacing w:before="0" w:after="0" w:line="259" w:lineRule="auto"/>
              <w:rPr>
                <w:rFonts w:cs="Arial"/>
                <w:b/>
              </w:rPr>
            </w:pPr>
          </w:p>
        </w:tc>
      </w:tr>
      <w:tr w:rsidR="005B5490" w:rsidRPr="005B5490" w14:paraId="13F3B349" w14:textId="77777777" w:rsidTr="004B1202">
        <w:trPr>
          <w:trHeight w:val="415"/>
        </w:trPr>
        <w:tc>
          <w:tcPr>
            <w:tcW w:w="3936" w:type="dxa"/>
          </w:tcPr>
          <w:p w14:paraId="1D05EA70" w14:textId="77777777" w:rsidR="005B5490" w:rsidRPr="005B5490" w:rsidRDefault="005B5490" w:rsidP="005B5490">
            <w:pPr>
              <w:spacing w:before="0" w:after="0" w:line="259" w:lineRule="auto"/>
              <w:rPr>
                <w:rFonts w:cs="Arial"/>
                <w:b/>
              </w:rPr>
            </w:pPr>
            <w:r w:rsidRPr="005B5490">
              <w:rPr>
                <w:rFonts w:cs="Arial"/>
                <w:b/>
              </w:rPr>
              <w:t>Date of completion</w:t>
            </w:r>
          </w:p>
        </w:tc>
        <w:tc>
          <w:tcPr>
            <w:tcW w:w="6124" w:type="dxa"/>
          </w:tcPr>
          <w:p w14:paraId="06FF873C" w14:textId="77777777" w:rsidR="005B5490" w:rsidRPr="005B5490" w:rsidRDefault="005B5490" w:rsidP="005B5490">
            <w:pPr>
              <w:spacing w:before="0" w:after="0" w:line="259" w:lineRule="auto"/>
              <w:rPr>
                <w:rFonts w:cs="Arial"/>
                <w:b/>
              </w:rPr>
            </w:pPr>
          </w:p>
        </w:tc>
      </w:tr>
    </w:tbl>
    <w:p w14:paraId="0731AAA0" w14:textId="77777777" w:rsidR="00364553" w:rsidRDefault="00364553" w:rsidP="00681E74">
      <w:pPr>
        <w:spacing w:before="0" w:after="0" w:line="259" w:lineRule="auto"/>
        <w:rPr>
          <w:rFonts w:cs="Arial"/>
        </w:rPr>
      </w:pPr>
    </w:p>
    <w:p w14:paraId="176B6AF5" w14:textId="77777777" w:rsidR="0024026B" w:rsidRDefault="00364553" w:rsidP="00364553">
      <w:r>
        <w:br w:type="page"/>
      </w:r>
    </w:p>
    <w:p w14:paraId="0EF300A4" w14:textId="77777777" w:rsidR="0024026B" w:rsidRPr="0070797B" w:rsidRDefault="0024026B" w:rsidP="00644D19">
      <w:pPr>
        <w:pStyle w:val="Heading2"/>
        <w:jc w:val="left"/>
        <w:rPr>
          <w:rFonts w:eastAsia="Calibri"/>
          <w:color w:val="2F5496"/>
        </w:rPr>
      </w:pPr>
      <w:bookmarkStart w:id="68" w:name="_Toc39152551"/>
      <w:bookmarkStart w:id="69" w:name="_Toc46843676"/>
      <w:r w:rsidRPr="0070797B">
        <w:rPr>
          <w:color w:val="2F5496"/>
        </w:rPr>
        <w:lastRenderedPageBreak/>
        <w:t>16.3</w:t>
      </w:r>
      <w:r w:rsidR="005D07F7">
        <w:rPr>
          <w:color w:val="2F5496"/>
        </w:rPr>
        <w:t>.</w:t>
      </w:r>
      <w:r w:rsidRPr="0070797B">
        <w:rPr>
          <w:color w:val="2F5496"/>
        </w:rPr>
        <w:t xml:space="preserve"> </w:t>
      </w:r>
      <w:r w:rsidR="00BD7F56">
        <w:rPr>
          <w:rFonts w:eastAsia="Calibri"/>
          <w:color w:val="2F5496"/>
        </w:rPr>
        <w:t>Appendix IV</w:t>
      </w:r>
      <w:r w:rsidRPr="0070797B">
        <w:rPr>
          <w:rFonts w:eastAsia="Calibri"/>
          <w:color w:val="2F5496"/>
        </w:rPr>
        <w:t xml:space="preserve"> Non-Medical Prescribing Scope of Practice Agreement</w:t>
      </w:r>
      <w:bookmarkEnd w:id="68"/>
      <w:bookmarkEnd w:id="69"/>
    </w:p>
    <w:p w14:paraId="1B6C3992" w14:textId="77777777" w:rsidR="0024026B" w:rsidRPr="0024026B" w:rsidRDefault="0024026B" w:rsidP="0024026B">
      <w:r w:rsidRPr="0024026B">
        <w:t>Please complete the form electronically, enlarging where necessary, then print and sign</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2F7FC"/>
        <w:tblLook w:val="0000" w:firstRow="0" w:lastRow="0" w:firstColumn="0" w:lastColumn="0" w:noHBand="0" w:noVBand="0"/>
      </w:tblPr>
      <w:tblGrid>
        <w:gridCol w:w="10632"/>
      </w:tblGrid>
      <w:tr w:rsidR="0024026B" w:rsidRPr="0024026B" w14:paraId="5DAF2A60" w14:textId="77777777" w:rsidTr="005902C6">
        <w:trPr>
          <w:trHeight w:val="919"/>
        </w:trPr>
        <w:tc>
          <w:tcPr>
            <w:tcW w:w="10632" w:type="dxa"/>
            <w:shd w:val="clear" w:color="auto" w:fill="DEEAF6"/>
          </w:tcPr>
          <w:p w14:paraId="21E94D0A" w14:textId="77777777" w:rsidR="0024026B" w:rsidRPr="0024026B" w:rsidRDefault="0024026B" w:rsidP="0024026B">
            <w:pPr>
              <w:rPr>
                <w:b/>
                <w:bCs/>
                <w:u w:val="single"/>
              </w:rPr>
            </w:pPr>
            <w:bookmarkStart w:id="70" w:name="_Toc39152552"/>
            <w:r w:rsidRPr="0024026B">
              <w:rPr>
                <w:b/>
                <w:bCs/>
                <w:u w:val="single"/>
              </w:rPr>
              <w:t xml:space="preserve">Non-Medical </w:t>
            </w:r>
            <w:proofErr w:type="gramStart"/>
            <w:r w:rsidRPr="0024026B">
              <w:rPr>
                <w:b/>
                <w:bCs/>
                <w:u w:val="single"/>
              </w:rPr>
              <w:t>Prescribing  Scope</w:t>
            </w:r>
            <w:proofErr w:type="gramEnd"/>
            <w:r w:rsidRPr="0024026B">
              <w:rPr>
                <w:b/>
                <w:bCs/>
                <w:u w:val="single"/>
              </w:rPr>
              <w:t xml:space="preserve"> Of Practice Agreement</w:t>
            </w:r>
            <w:bookmarkEnd w:id="70"/>
          </w:p>
          <w:p w14:paraId="0E3D388D" w14:textId="77777777" w:rsidR="0024026B" w:rsidRPr="0024026B" w:rsidRDefault="0024026B" w:rsidP="0024026B">
            <w:pPr>
              <w:rPr>
                <w:b/>
              </w:rPr>
            </w:pPr>
            <w:r w:rsidRPr="0024026B">
              <w:rPr>
                <w:b/>
              </w:rPr>
              <w:t>To be completed by all Non-Medical prescribers (independent and supplementary) working in GP practices and commissioned services</w:t>
            </w:r>
          </w:p>
        </w:tc>
      </w:tr>
    </w:tbl>
    <w:p w14:paraId="23F984B6" w14:textId="77777777" w:rsidR="0024026B" w:rsidRPr="0024026B" w:rsidRDefault="0024026B" w:rsidP="0024026B">
      <w:pPr>
        <w:rPr>
          <w:vanish/>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24026B" w:rsidRPr="0024026B" w14:paraId="5AD03CCF" w14:textId="77777777" w:rsidTr="005902C6">
        <w:tc>
          <w:tcPr>
            <w:tcW w:w="10632" w:type="dxa"/>
            <w:shd w:val="clear" w:color="auto" w:fill="auto"/>
          </w:tcPr>
          <w:p w14:paraId="3664F9CF" w14:textId="77777777" w:rsidR="0024026B" w:rsidRPr="0024026B" w:rsidRDefault="0024026B" w:rsidP="0024026B">
            <w:r w:rsidRPr="0024026B">
              <w:t xml:space="preserve">Name:                        </w:t>
            </w:r>
          </w:p>
        </w:tc>
      </w:tr>
      <w:tr w:rsidR="0024026B" w:rsidRPr="0024026B" w14:paraId="4DA3B09F" w14:textId="77777777" w:rsidTr="005902C6">
        <w:tc>
          <w:tcPr>
            <w:tcW w:w="10632" w:type="dxa"/>
            <w:shd w:val="clear" w:color="auto" w:fill="auto"/>
          </w:tcPr>
          <w:p w14:paraId="01B9BD66" w14:textId="77777777" w:rsidR="0024026B" w:rsidRPr="0024026B" w:rsidRDefault="0024026B" w:rsidP="0024026B">
            <w:r w:rsidRPr="0024026B">
              <w:t xml:space="preserve">Job title:   </w:t>
            </w:r>
          </w:p>
        </w:tc>
      </w:tr>
      <w:tr w:rsidR="0024026B" w:rsidRPr="0024026B" w14:paraId="22F5A9C7" w14:textId="77777777" w:rsidTr="005902C6">
        <w:tc>
          <w:tcPr>
            <w:tcW w:w="10632" w:type="dxa"/>
            <w:shd w:val="clear" w:color="auto" w:fill="auto"/>
          </w:tcPr>
          <w:p w14:paraId="1BBB90F1" w14:textId="77777777" w:rsidR="0024026B" w:rsidRPr="0024026B" w:rsidRDefault="0024026B" w:rsidP="0024026B">
            <w:r w:rsidRPr="0024026B">
              <w:t xml:space="preserve">Base/Practice Name: </w:t>
            </w:r>
          </w:p>
          <w:p w14:paraId="05B43B7B" w14:textId="77777777" w:rsidR="0024026B" w:rsidRPr="0024026B" w:rsidRDefault="0024026B" w:rsidP="0024026B">
            <w:r w:rsidRPr="0024026B">
              <w:t>Address:</w:t>
            </w:r>
          </w:p>
          <w:p w14:paraId="6E5A8D8F" w14:textId="77777777" w:rsidR="0024026B" w:rsidRPr="0024026B" w:rsidRDefault="0024026B" w:rsidP="0024026B"/>
        </w:tc>
      </w:tr>
      <w:tr w:rsidR="0024026B" w:rsidRPr="0024026B" w14:paraId="31DBCF69" w14:textId="77777777" w:rsidTr="005902C6">
        <w:tc>
          <w:tcPr>
            <w:tcW w:w="10632" w:type="dxa"/>
            <w:shd w:val="clear" w:color="auto" w:fill="auto"/>
          </w:tcPr>
          <w:p w14:paraId="457EF077" w14:textId="77777777" w:rsidR="0024026B" w:rsidRPr="0024026B" w:rsidRDefault="0024026B" w:rsidP="0024026B">
            <w:r w:rsidRPr="0024026B">
              <w:t xml:space="preserve">Professional registration Body:                                                           </w:t>
            </w:r>
          </w:p>
        </w:tc>
      </w:tr>
      <w:tr w:rsidR="0024026B" w:rsidRPr="0024026B" w14:paraId="101888DC" w14:textId="77777777" w:rsidTr="005902C6">
        <w:tc>
          <w:tcPr>
            <w:tcW w:w="10632" w:type="dxa"/>
            <w:shd w:val="clear" w:color="auto" w:fill="auto"/>
          </w:tcPr>
          <w:p w14:paraId="58B0C23D" w14:textId="77777777" w:rsidR="0024026B" w:rsidRPr="0024026B" w:rsidRDefault="0024026B" w:rsidP="0024026B">
            <w:r w:rsidRPr="0024026B">
              <w:t>Registration PIN/ Number:</w:t>
            </w:r>
          </w:p>
        </w:tc>
      </w:tr>
      <w:tr w:rsidR="0024026B" w:rsidRPr="0024026B" w14:paraId="127A113A" w14:textId="77777777" w:rsidTr="005902C6">
        <w:tc>
          <w:tcPr>
            <w:tcW w:w="10632" w:type="dxa"/>
            <w:shd w:val="clear" w:color="auto" w:fill="auto"/>
          </w:tcPr>
          <w:p w14:paraId="18472C94" w14:textId="77777777" w:rsidR="0024026B" w:rsidRPr="0024026B" w:rsidRDefault="0024026B" w:rsidP="0024026B">
            <w:r w:rsidRPr="0024026B">
              <w:t xml:space="preserve">Date prescribing qualification registered with professional body and which prescribing qualification is </w:t>
            </w:r>
            <w:proofErr w:type="gramStart"/>
            <w:r w:rsidRPr="0024026B">
              <w:t>held(</w:t>
            </w:r>
            <w:proofErr w:type="gramEnd"/>
            <w:r w:rsidRPr="0024026B">
              <w:t xml:space="preserve">Independent or Supplementary: </w:t>
            </w:r>
          </w:p>
          <w:p w14:paraId="7D85D645" w14:textId="77777777" w:rsidR="0024026B" w:rsidRPr="0024026B" w:rsidRDefault="0024026B" w:rsidP="0024026B"/>
        </w:tc>
      </w:tr>
    </w:tbl>
    <w:p w14:paraId="6FF390CB" w14:textId="77777777" w:rsidR="0024026B" w:rsidRPr="0024026B" w:rsidRDefault="0024026B" w:rsidP="0024026B">
      <w:pPr>
        <w:rPr>
          <w:vanish/>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2268"/>
        <w:gridCol w:w="5812"/>
      </w:tblGrid>
      <w:tr w:rsidR="0024026B" w:rsidRPr="0024026B" w14:paraId="742C5070" w14:textId="77777777" w:rsidTr="0038689B">
        <w:tc>
          <w:tcPr>
            <w:tcW w:w="2547" w:type="dxa"/>
            <w:shd w:val="clear" w:color="auto" w:fill="DEEAF6"/>
            <w:vAlign w:val="center"/>
          </w:tcPr>
          <w:p w14:paraId="6E06BAD2" w14:textId="77777777" w:rsidR="0024026B" w:rsidRPr="0024026B" w:rsidRDefault="0024026B" w:rsidP="0024026B">
            <w:pPr>
              <w:jc w:val="center"/>
              <w:rPr>
                <w:b/>
              </w:rPr>
            </w:pPr>
            <w:r w:rsidRPr="0024026B">
              <w:rPr>
                <w:b/>
              </w:rPr>
              <w:t>Disease area and class of medication to be prescribed:</w:t>
            </w:r>
          </w:p>
        </w:tc>
        <w:tc>
          <w:tcPr>
            <w:tcW w:w="2268" w:type="dxa"/>
            <w:shd w:val="clear" w:color="auto" w:fill="DEEAF6"/>
            <w:vAlign w:val="center"/>
          </w:tcPr>
          <w:p w14:paraId="133A0CE4" w14:textId="77777777" w:rsidR="0024026B" w:rsidRPr="0024026B" w:rsidRDefault="0024026B" w:rsidP="0024026B">
            <w:pPr>
              <w:jc w:val="center"/>
              <w:rPr>
                <w:b/>
              </w:rPr>
            </w:pPr>
            <w:r w:rsidRPr="0024026B">
              <w:rPr>
                <w:b/>
              </w:rPr>
              <w:t>Evidence of competence to prescribe in this area:</w:t>
            </w:r>
          </w:p>
        </w:tc>
        <w:tc>
          <w:tcPr>
            <w:tcW w:w="5812" w:type="dxa"/>
            <w:shd w:val="clear" w:color="auto" w:fill="DEEAF6"/>
            <w:vAlign w:val="center"/>
          </w:tcPr>
          <w:p w14:paraId="350D5162" w14:textId="77777777" w:rsidR="0024026B" w:rsidRPr="0024026B" w:rsidRDefault="0024026B" w:rsidP="0024026B">
            <w:pPr>
              <w:jc w:val="center"/>
              <w:rPr>
                <w:b/>
              </w:rPr>
            </w:pPr>
            <w:r w:rsidRPr="0024026B">
              <w:rPr>
                <w:b/>
              </w:rPr>
              <w:t>Recent CPD supporting prescribing in this area:</w:t>
            </w:r>
          </w:p>
          <w:p w14:paraId="5AF7EC2D" w14:textId="77777777" w:rsidR="0024026B" w:rsidRPr="0024026B" w:rsidRDefault="0024026B" w:rsidP="0024026B">
            <w:pPr>
              <w:jc w:val="center"/>
            </w:pPr>
            <w:r w:rsidRPr="0024026B">
              <w:rPr>
                <w:b/>
              </w:rPr>
              <w:t>(include dates)</w:t>
            </w:r>
          </w:p>
        </w:tc>
      </w:tr>
      <w:tr w:rsidR="0024026B" w:rsidRPr="0024026B" w14:paraId="57FD8CFE" w14:textId="77777777" w:rsidTr="004B1202">
        <w:tc>
          <w:tcPr>
            <w:tcW w:w="2547" w:type="dxa"/>
          </w:tcPr>
          <w:p w14:paraId="6316CD93" w14:textId="77777777" w:rsidR="0024026B" w:rsidRPr="0024026B" w:rsidRDefault="0024026B" w:rsidP="0024026B"/>
          <w:p w14:paraId="7CD96806" w14:textId="77777777" w:rsidR="0024026B" w:rsidRPr="0024026B" w:rsidRDefault="0024026B" w:rsidP="0024026B"/>
          <w:p w14:paraId="3B78B666" w14:textId="77777777" w:rsidR="0024026B" w:rsidRPr="0024026B" w:rsidRDefault="0024026B" w:rsidP="0024026B"/>
        </w:tc>
        <w:tc>
          <w:tcPr>
            <w:tcW w:w="2268" w:type="dxa"/>
          </w:tcPr>
          <w:p w14:paraId="20FA4996" w14:textId="77777777" w:rsidR="0024026B" w:rsidRPr="0024026B" w:rsidRDefault="0024026B" w:rsidP="0024026B"/>
        </w:tc>
        <w:tc>
          <w:tcPr>
            <w:tcW w:w="5812" w:type="dxa"/>
          </w:tcPr>
          <w:p w14:paraId="3CE5D3DD" w14:textId="77777777" w:rsidR="0024026B" w:rsidRPr="0024026B" w:rsidRDefault="0024026B" w:rsidP="0024026B"/>
        </w:tc>
      </w:tr>
      <w:tr w:rsidR="0024026B" w:rsidRPr="0024026B" w14:paraId="26E3ECFE" w14:textId="77777777" w:rsidTr="004B1202">
        <w:tc>
          <w:tcPr>
            <w:tcW w:w="2547" w:type="dxa"/>
          </w:tcPr>
          <w:p w14:paraId="3516BF98" w14:textId="77777777" w:rsidR="0024026B" w:rsidRPr="0024026B" w:rsidRDefault="0024026B" w:rsidP="0024026B"/>
          <w:p w14:paraId="44C10375" w14:textId="77777777" w:rsidR="0024026B" w:rsidRPr="0024026B" w:rsidRDefault="0024026B" w:rsidP="0024026B"/>
          <w:p w14:paraId="3BAE8628" w14:textId="77777777" w:rsidR="0024026B" w:rsidRPr="0024026B" w:rsidRDefault="0024026B" w:rsidP="0024026B"/>
        </w:tc>
        <w:tc>
          <w:tcPr>
            <w:tcW w:w="2268" w:type="dxa"/>
          </w:tcPr>
          <w:p w14:paraId="315D8087" w14:textId="77777777" w:rsidR="0024026B" w:rsidRPr="0024026B" w:rsidRDefault="0024026B" w:rsidP="0024026B"/>
        </w:tc>
        <w:tc>
          <w:tcPr>
            <w:tcW w:w="5812" w:type="dxa"/>
          </w:tcPr>
          <w:p w14:paraId="6B188645" w14:textId="77777777" w:rsidR="0024026B" w:rsidRPr="0024026B" w:rsidRDefault="0024026B" w:rsidP="0024026B"/>
        </w:tc>
      </w:tr>
      <w:tr w:rsidR="0024026B" w:rsidRPr="0024026B" w14:paraId="65A216BC" w14:textId="77777777" w:rsidTr="004B1202">
        <w:tc>
          <w:tcPr>
            <w:tcW w:w="2547" w:type="dxa"/>
          </w:tcPr>
          <w:p w14:paraId="1107A3B8" w14:textId="77777777" w:rsidR="0024026B" w:rsidRPr="0024026B" w:rsidRDefault="0024026B" w:rsidP="0024026B"/>
          <w:p w14:paraId="6D207C58" w14:textId="77777777" w:rsidR="0024026B" w:rsidRPr="0024026B" w:rsidRDefault="0024026B" w:rsidP="0024026B"/>
          <w:p w14:paraId="124F2625" w14:textId="77777777" w:rsidR="0024026B" w:rsidRPr="0024026B" w:rsidRDefault="0024026B" w:rsidP="0024026B"/>
        </w:tc>
        <w:tc>
          <w:tcPr>
            <w:tcW w:w="2268" w:type="dxa"/>
          </w:tcPr>
          <w:p w14:paraId="01771BC2" w14:textId="77777777" w:rsidR="0024026B" w:rsidRPr="0024026B" w:rsidRDefault="0024026B" w:rsidP="0024026B"/>
        </w:tc>
        <w:tc>
          <w:tcPr>
            <w:tcW w:w="5812" w:type="dxa"/>
          </w:tcPr>
          <w:p w14:paraId="51708B70" w14:textId="77777777" w:rsidR="0024026B" w:rsidRPr="0024026B" w:rsidRDefault="0024026B" w:rsidP="0024026B"/>
        </w:tc>
      </w:tr>
      <w:tr w:rsidR="0024026B" w:rsidRPr="0024026B" w14:paraId="633DE347" w14:textId="77777777" w:rsidTr="0024026B">
        <w:trPr>
          <w:trHeight w:val="808"/>
        </w:trPr>
        <w:tc>
          <w:tcPr>
            <w:tcW w:w="2547" w:type="dxa"/>
          </w:tcPr>
          <w:p w14:paraId="164F27CE" w14:textId="77777777" w:rsidR="0024026B" w:rsidRPr="0024026B" w:rsidRDefault="0024026B" w:rsidP="0024026B">
            <w:pPr>
              <w:spacing w:before="0" w:after="0"/>
            </w:pPr>
          </w:p>
          <w:p w14:paraId="75B6C6D3" w14:textId="77777777" w:rsidR="0024026B" w:rsidRPr="0024026B" w:rsidRDefault="0024026B" w:rsidP="0024026B">
            <w:pPr>
              <w:spacing w:before="0" w:after="0"/>
            </w:pPr>
          </w:p>
          <w:p w14:paraId="7FF6874E" w14:textId="77777777" w:rsidR="0024026B" w:rsidRPr="0024026B" w:rsidRDefault="0024026B" w:rsidP="0024026B">
            <w:pPr>
              <w:spacing w:before="0" w:after="0"/>
            </w:pPr>
          </w:p>
          <w:p w14:paraId="2FB1C8E0" w14:textId="77777777" w:rsidR="0024026B" w:rsidRPr="0024026B" w:rsidRDefault="0024026B" w:rsidP="0024026B">
            <w:pPr>
              <w:spacing w:before="0" w:after="0"/>
            </w:pPr>
          </w:p>
        </w:tc>
        <w:tc>
          <w:tcPr>
            <w:tcW w:w="2268" w:type="dxa"/>
          </w:tcPr>
          <w:p w14:paraId="527417DC" w14:textId="77777777" w:rsidR="0024026B" w:rsidRPr="0024026B" w:rsidRDefault="0024026B" w:rsidP="0024026B">
            <w:pPr>
              <w:spacing w:before="0" w:after="0"/>
            </w:pPr>
          </w:p>
        </w:tc>
        <w:tc>
          <w:tcPr>
            <w:tcW w:w="5812" w:type="dxa"/>
          </w:tcPr>
          <w:p w14:paraId="4AC42EA2" w14:textId="77777777" w:rsidR="0024026B" w:rsidRPr="0024026B" w:rsidRDefault="0024026B" w:rsidP="0024026B">
            <w:pPr>
              <w:spacing w:before="0" w:after="0"/>
            </w:pPr>
          </w:p>
        </w:tc>
      </w:tr>
      <w:tr w:rsidR="0024026B" w:rsidRPr="0024026B" w14:paraId="00145720" w14:textId="77777777" w:rsidTr="004B1202">
        <w:trPr>
          <w:cantSplit/>
        </w:trPr>
        <w:tc>
          <w:tcPr>
            <w:tcW w:w="2547" w:type="dxa"/>
            <w:vAlign w:val="center"/>
          </w:tcPr>
          <w:p w14:paraId="5845003F" w14:textId="77777777" w:rsidR="0024026B" w:rsidRPr="0024026B" w:rsidRDefault="0024026B" w:rsidP="0024026B">
            <w:r w:rsidRPr="0024026B">
              <w:t>How do you intend to audit your prescribing?</w:t>
            </w:r>
          </w:p>
        </w:tc>
        <w:tc>
          <w:tcPr>
            <w:tcW w:w="8080" w:type="dxa"/>
            <w:gridSpan w:val="2"/>
          </w:tcPr>
          <w:p w14:paraId="6A27487A" w14:textId="77777777" w:rsidR="0024026B" w:rsidRPr="0024026B" w:rsidRDefault="0024026B" w:rsidP="0024026B"/>
        </w:tc>
      </w:tr>
      <w:tr w:rsidR="0024026B" w:rsidRPr="0024026B" w14:paraId="09180C79" w14:textId="77777777" w:rsidTr="004B1202">
        <w:trPr>
          <w:cantSplit/>
        </w:trPr>
        <w:tc>
          <w:tcPr>
            <w:tcW w:w="2547" w:type="dxa"/>
            <w:vAlign w:val="center"/>
          </w:tcPr>
          <w:p w14:paraId="275F2232" w14:textId="77777777" w:rsidR="0024026B" w:rsidRPr="0024026B" w:rsidRDefault="0024026B" w:rsidP="0024026B">
            <w:r w:rsidRPr="0024026B">
              <w:t xml:space="preserve">Describe the details of your clinical supervision e.g. type and frequency </w:t>
            </w:r>
          </w:p>
        </w:tc>
        <w:tc>
          <w:tcPr>
            <w:tcW w:w="8080" w:type="dxa"/>
            <w:gridSpan w:val="2"/>
          </w:tcPr>
          <w:p w14:paraId="07AF9B28" w14:textId="77777777" w:rsidR="0024026B" w:rsidRPr="0024026B" w:rsidRDefault="0024026B" w:rsidP="0024026B"/>
          <w:p w14:paraId="76DFF71D" w14:textId="77777777" w:rsidR="0024026B" w:rsidRPr="0024026B" w:rsidRDefault="0024026B" w:rsidP="0024026B"/>
        </w:tc>
      </w:tr>
    </w:tbl>
    <w:p w14:paraId="7AA33806" w14:textId="77777777" w:rsidR="00364553" w:rsidRDefault="00364553">
      <w:bookmarkStart w:id="71" w:name="_Toc39152553"/>
      <w:r>
        <w:br w:type="page"/>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4320"/>
        <w:gridCol w:w="3499"/>
      </w:tblGrid>
      <w:tr w:rsidR="0024026B" w:rsidRPr="0024026B" w14:paraId="107AB68F" w14:textId="77777777" w:rsidTr="005902C6">
        <w:trPr>
          <w:cantSplit/>
        </w:trPr>
        <w:tc>
          <w:tcPr>
            <w:tcW w:w="10627" w:type="dxa"/>
            <w:gridSpan w:val="3"/>
            <w:shd w:val="clear" w:color="auto" w:fill="DEEAF6"/>
          </w:tcPr>
          <w:p w14:paraId="62A9359D" w14:textId="77777777" w:rsidR="00364553" w:rsidRPr="0024026B" w:rsidRDefault="0024026B" w:rsidP="0024026B">
            <w:pPr>
              <w:rPr>
                <w:b/>
              </w:rPr>
            </w:pPr>
            <w:r w:rsidRPr="0024026B">
              <w:rPr>
                <w:b/>
              </w:rPr>
              <w:lastRenderedPageBreak/>
              <w:t>Prescribing CPD Requirements</w:t>
            </w:r>
            <w:bookmarkEnd w:id="71"/>
            <w:r w:rsidRPr="0024026B">
              <w:rPr>
                <w:b/>
              </w:rPr>
              <w:t xml:space="preserve"> </w:t>
            </w:r>
          </w:p>
        </w:tc>
      </w:tr>
      <w:tr w:rsidR="0024026B" w:rsidRPr="0024026B" w14:paraId="3714E19F" w14:textId="77777777" w:rsidTr="004B1202">
        <w:trPr>
          <w:cantSplit/>
        </w:trPr>
        <w:tc>
          <w:tcPr>
            <w:tcW w:w="2808" w:type="dxa"/>
          </w:tcPr>
          <w:p w14:paraId="4EBA3C5A" w14:textId="77777777" w:rsidR="0024026B" w:rsidRPr="0024026B" w:rsidRDefault="0024026B" w:rsidP="0024026B"/>
          <w:p w14:paraId="59AA2F92" w14:textId="77777777" w:rsidR="0024026B" w:rsidRPr="0024026B" w:rsidRDefault="0024026B" w:rsidP="0024026B">
            <w:r w:rsidRPr="0024026B">
              <w:t>Describe area(s) of CPD identified</w:t>
            </w:r>
          </w:p>
          <w:p w14:paraId="70EFDCF0" w14:textId="77777777" w:rsidR="0024026B" w:rsidRPr="0024026B" w:rsidRDefault="0024026B" w:rsidP="0024026B">
            <w:pPr>
              <w:rPr>
                <w:b/>
              </w:rPr>
            </w:pPr>
            <w:r w:rsidRPr="0024026B">
              <w:rPr>
                <w:b/>
              </w:rPr>
              <w:t xml:space="preserve">e.g. </w:t>
            </w:r>
            <w:r w:rsidRPr="0024026B">
              <w:rPr>
                <w:i/>
              </w:rPr>
              <w:t>Prescribing for the elderly, dilemmas, electronic prescribing</w:t>
            </w:r>
          </w:p>
        </w:tc>
        <w:tc>
          <w:tcPr>
            <w:tcW w:w="4320" w:type="dxa"/>
            <w:vAlign w:val="center"/>
          </w:tcPr>
          <w:p w14:paraId="3CFBC86B" w14:textId="77777777" w:rsidR="0024026B" w:rsidRPr="0024026B" w:rsidRDefault="0024026B" w:rsidP="0024026B">
            <w:r w:rsidRPr="0024026B">
              <w:t xml:space="preserve">Outline plan to meet CPD </w:t>
            </w:r>
            <w:r w:rsidRPr="0024026B">
              <w:rPr>
                <w:b/>
              </w:rPr>
              <w:t>e.g.</w:t>
            </w:r>
            <w:r w:rsidRPr="0024026B">
              <w:t xml:space="preserve"> </w:t>
            </w:r>
            <w:r w:rsidRPr="0024026B">
              <w:rPr>
                <w:i/>
              </w:rPr>
              <w:t>through training, shadowing, supervised practice etc.</w:t>
            </w:r>
          </w:p>
        </w:tc>
        <w:tc>
          <w:tcPr>
            <w:tcW w:w="3499" w:type="dxa"/>
            <w:vAlign w:val="center"/>
          </w:tcPr>
          <w:p w14:paraId="224473A2" w14:textId="77777777" w:rsidR="0024026B" w:rsidRPr="0024026B" w:rsidRDefault="0024026B" w:rsidP="0024026B">
            <w:r w:rsidRPr="0024026B">
              <w:t>Date this CPD needs to be met.</w:t>
            </w:r>
          </w:p>
        </w:tc>
      </w:tr>
      <w:tr w:rsidR="0024026B" w:rsidRPr="0024026B" w14:paraId="3543D140" w14:textId="77777777" w:rsidTr="004B1202">
        <w:trPr>
          <w:cantSplit/>
        </w:trPr>
        <w:tc>
          <w:tcPr>
            <w:tcW w:w="2808" w:type="dxa"/>
          </w:tcPr>
          <w:p w14:paraId="37206D73" w14:textId="77777777" w:rsidR="0024026B" w:rsidRPr="0024026B" w:rsidRDefault="0024026B" w:rsidP="0024026B"/>
          <w:p w14:paraId="7213A2B3" w14:textId="77777777" w:rsidR="0024026B" w:rsidRPr="0024026B" w:rsidRDefault="0024026B" w:rsidP="0024026B"/>
        </w:tc>
        <w:tc>
          <w:tcPr>
            <w:tcW w:w="4320" w:type="dxa"/>
          </w:tcPr>
          <w:p w14:paraId="7655A9A1" w14:textId="77777777" w:rsidR="0024026B" w:rsidRPr="0024026B" w:rsidRDefault="0024026B" w:rsidP="0024026B"/>
          <w:p w14:paraId="4F598863" w14:textId="77777777" w:rsidR="0024026B" w:rsidRPr="0024026B" w:rsidRDefault="0024026B" w:rsidP="0024026B"/>
        </w:tc>
        <w:tc>
          <w:tcPr>
            <w:tcW w:w="3499" w:type="dxa"/>
          </w:tcPr>
          <w:p w14:paraId="38D22465" w14:textId="77777777" w:rsidR="0024026B" w:rsidRPr="0024026B" w:rsidRDefault="0024026B" w:rsidP="0024026B"/>
          <w:p w14:paraId="70CAF5C7" w14:textId="77777777" w:rsidR="0024026B" w:rsidRPr="0024026B" w:rsidRDefault="0024026B" w:rsidP="0024026B"/>
        </w:tc>
      </w:tr>
      <w:tr w:rsidR="0024026B" w:rsidRPr="0024026B" w14:paraId="066F05C2" w14:textId="77777777" w:rsidTr="004B1202">
        <w:trPr>
          <w:cantSplit/>
        </w:trPr>
        <w:tc>
          <w:tcPr>
            <w:tcW w:w="2808" w:type="dxa"/>
          </w:tcPr>
          <w:p w14:paraId="05BF44C4" w14:textId="77777777" w:rsidR="0024026B" w:rsidRPr="0024026B" w:rsidRDefault="0024026B" w:rsidP="0024026B"/>
          <w:p w14:paraId="15BDD5BE" w14:textId="77777777" w:rsidR="0024026B" w:rsidRPr="0024026B" w:rsidRDefault="0024026B" w:rsidP="0024026B"/>
        </w:tc>
        <w:tc>
          <w:tcPr>
            <w:tcW w:w="4320" w:type="dxa"/>
          </w:tcPr>
          <w:p w14:paraId="2EBD98E4" w14:textId="77777777" w:rsidR="0024026B" w:rsidRPr="0024026B" w:rsidRDefault="0024026B" w:rsidP="0024026B"/>
        </w:tc>
        <w:tc>
          <w:tcPr>
            <w:tcW w:w="3499" w:type="dxa"/>
          </w:tcPr>
          <w:p w14:paraId="3A9F2584" w14:textId="77777777" w:rsidR="0024026B" w:rsidRPr="0024026B" w:rsidRDefault="0024026B" w:rsidP="0024026B"/>
        </w:tc>
      </w:tr>
    </w:tbl>
    <w:p w14:paraId="6C3C9DEB" w14:textId="77777777" w:rsidR="0024026B" w:rsidRDefault="0024026B" w:rsidP="0024026B">
      <w:pPr>
        <w:rPr>
          <w:b/>
        </w:rPr>
      </w:pPr>
    </w:p>
    <w:p w14:paraId="6C833448" w14:textId="77777777" w:rsidR="0024026B" w:rsidRPr="0024026B" w:rsidRDefault="0024026B" w:rsidP="0024026B">
      <w:pPr>
        <w:rPr>
          <w:b/>
        </w:rPr>
      </w:pPr>
      <w:r w:rsidRPr="0024026B">
        <w:rPr>
          <w:b/>
        </w:rPr>
        <w:t>My scope of practice has been discussed and agreed with the practice GP prescribing lead/clinical manager.</w:t>
      </w:r>
    </w:p>
    <w:p w14:paraId="0079AE5D" w14:textId="77777777" w:rsidR="0024026B" w:rsidRDefault="0024026B" w:rsidP="0024026B"/>
    <w:p w14:paraId="5722D12B" w14:textId="77777777" w:rsidR="0024026B" w:rsidRPr="0024026B" w:rsidRDefault="0024026B" w:rsidP="0024026B">
      <w:r w:rsidRPr="0024026B">
        <w:t xml:space="preserve">Independent/Supplementary Prescriber signature: </w:t>
      </w:r>
    </w:p>
    <w:p w14:paraId="6DBF3EFA" w14:textId="77777777" w:rsidR="0024026B" w:rsidRDefault="0024026B" w:rsidP="0024026B"/>
    <w:p w14:paraId="5CDFF8C0" w14:textId="77777777" w:rsidR="0024026B" w:rsidRPr="0024026B" w:rsidRDefault="0024026B" w:rsidP="0024026B">
      <w:r w:rsidRPr="0024026B">
        <w:t>GP lead/Clinical Manager name (name) and Signature:</w:t>
      </w:r>
    </w:p>
    <w:p w14:paraId="1756C860" w14:textId="77777777" w:rsidR="0024026B" w:rsidRDefault="0024026B" w:rsidP="0024026B">
      <w:pPr>
        <w:rPr>
          <w:b/>
        </w:rPr>
      </w:pPr>
    </w:p>
    <w:p w14:paraId="7751D08E" w14:textId="77777777" w:rsidR="0024026B" w:rsidRDefault="0024026B" w:rsidP="0024026B">
      <w:pPr>
        <w:rPr>
          <w:b/>
        </w:rPr>
      </w:pPr>
    </w:p>
    <w:p w14:paraId="18BAD4F2" w14:textId="77777777" w:rsidR="0024026B" w:rsidRPr="0024026B" w:rsidRDefault="0024026B" w:rsidP="0024026B">
      <w:pPr>
        <w:rPr>
          <w:b/>
          <w:bCs/>
        </w:rPr>
      </w:pPr>
      <w:r w:rsidRPr="0024026B">
        <w:rPr>
          <w:b/>
        </w:rPr>
        <w:t>Send a copy of the completed document to</w:t>
      </w:r>
      <w:r w:rsidRPr="0024026B">
        <w:rPr>
          <w:b/>
          <w:bCs/>
        </w:rPr>
        <w:t xml:space="preserve"> the Medicines Optimisation Team </w:t>
      </w:r>
    </w:p>
    <w:p w14:paraId="5287F70B" w14:textId="77777777" w:rsidR="0024026B" w:rsidRDefault="0024026B" w:rsidP="0024026B">
      <w:pPr>
        <w:jc w:val="left"/>
        <w:rPr>
          <w:b/>
        </w:rPr>
      </w:pPr>
    </w:p>
    <w:p w14:paraId="451D4480" w14:textId="77777777" w:rsidR="0024026B" w:rsidRDefault="00CF2869" w:rsidP="0024026B">
      <w:pPr>
        <w:ind w:left="720"/>
        <w:jc w:val="left"/>
      </w:pPr>
      <w:hyperlink r:id="rId54" w:history="1">
        <w:r w:rsidR="0007777D" w:rsidRPr="00C50A06">
          <w:rPr>
            <w:rStyle w:val="Hyperlink"/>
          </w:rPr>
          <w:t>nelondon.tnwmedicinesoptimisation@nhs.net</w:t>
        </w:r>
      </w:hyperlink>
    </w:p>
    <w:p w14:paraId="0ED9C4BC" w14:textId="77777777" w:rsidR="0007777D" w:rsidRDefault="0007777D" w:rsidP="0007777D">
      <w:pPr>
        <w:jc w:val="left"/>
      </w:pPr>
    </w:p>
    <w:p w14:paraId="535D18CB" w14:textId="77777777" w:rsidR="0024026B" w:rsidRDefault="0024026B" w:rsidP="0024026B">
      <w:pPr>
        <w:ind w:left="720"/>
        <w:jc w:val="left"/>
      </w:pPr>
    </w:p>
    <w:p w14:paraId="358CFBF0" w14:textId="77777777" w:rsidR="0024026B" w:rsidRPr="0024026B" w:rsidRDefault="0024026B" w:rsidP="0024026B">
      <w:pPr>
        <w:ind w:left="720"/>
        <w:jc w:val="left"/>
      </w:pPr>
    </w:p>
    <w:p w14:paraId="7CA9F801" w14:textId="77777777" w:rsidR="0024026B" w:rsidRPr="0024026B" w:rsidRDefault="0024026B" w:rsidP="0024026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24026B">
        <w:rPr>
          <w:b/>
        </w:rPr>
        <w:t>This agreement must be updated when the prescriber’s scope of practice changes.</w:t>
      </w:r>
    </w:p>
    <w:p w14:paraId="1F9C4C0E" w14:textId="77777777" w:rsidR="005B5490" w:rsidRDefault="005B5490" w:rsidP="00335709">
      <w:pPr>
        <w:pStyle w:val="Heading2"/>
        <w:jc w:val="left"/>
      </w:pPr>
    </w:p>
    <w:p w14:paraId="4A1E7B25" w14:textId="77777777" w:rsidR="00364553" w:rsidRPr="0070797B" w:rsidRDefault="005B5490" w:rsidP="00644D19">
      <w:pPr>
        <w:pStyle w:val="Heading2"/>
        <w:jc w:val="left"/>
        <w:rPr>
          <w:rFonts w:eastAsia="Calibri"/>
          <w:color w:val="2F5496"/>
        </w:rPr>
      </w:pPr>
      <w:r>
        <w:br w:type="page"/>
      </w:r>
      <w:bookmarkStart w:id="72" w:name="_Toc46843677"/>
      <w:r w:rsidR="00364553" w:rsidRPr="0070797B">
        <w:rPr>
          <w:color w:val="2F5496"/>
        </w:rPr>
        <w:lastRenderedPageBreak/>
        <w:t>16.5 Appendix V: NMP joining a new organisation</w:t>
      </w:r>
      <w:bookmarkEnd w:id="72"/>
      <w:r w:rsidR="00364553" w:rsidRPr="0070797B">
        <w:rPr>
          <w:color w:val="2F5496"/>
        </w:rPr>
        <w:t xml:space="preserve"> </w:t>
      </w:r>
    </w:p>
    <w:p w14:paraId="0E670DEA" w14:textId="77777777" w:rsidR="00364553" w:rsidRDefault="00364553" w:rsidP="00364553">
      <w:r w:rsidRPr="00364553">
        <w:t xml:space="preserve"> </w:t>
      </w:r>
      <w:r>
        <w:t xml:space="preserve">Available from the NHS BSA website here (example form shown below): </w:t>
      </w:r>
      <w:r w:rsidRPr="00364553">
        <w:rPr>
          <w:rFonts w:eastAsia="Times New Roman"/>
          <w:b/>
          <w:bCs/>
          <w:sz w:val="24"/>
          <w:szCs w:val="28"/>
        </w:rPr>
        <w:t xml:space="preserve"> </w:t>
      </w:r>
      <w:hyperlink r:id="rId55" w:history="1">
        <w:r w:rsidRPr="00364553">
          <w:rPr>
            <w:rStyle w:val="Hyperlink"/>
          </w:rPr>
          <w:t>https://www.nhsbsa.nhs.uk/ccgs-area-teams-and-other-providers/organisation-and-prescriber-changes/ccgs</w:t>
        </w:r>
      </w:hyperlink>
    </w:p>
    <w:p w14:paraId="228D8AD3" w14:textId="77777777" w:rsidR="00364553" w:rsidRDefault="00364553" w:rsidP="00364553"/>
    <w:p w14:paraId="2B1378B3" w14:textId="77777777" w:rsidR="00364553" w:rsidRDefault="003A1159" w:rsidP="00364553">
      <w:pPr>
        <w:rPr>
          <w:rFonts w:ascii="Calibri" w:hAnsi="Calibri" w:cs="Calibri"/>
          <w:noProof/>
          <w:lang w:eastAsia="en-GB"/>
        </w:rPr>
      </w:pPr>
      <w:r w:rsidRPr="00364553">
        <w:rPr>
          <w:rFonts w:ascii="Calibri" w:hAnsi="Calibri" w:cs="Calibri"/>
          <w:noProof/>
          <w:lang w:eastAsia="en-GB"/>
        </w:rPr>
        <w:drawing>
          <wp:inline distT="0" distB="0" distL="0" distR="0" wp14:anchorId="35225817" wp14:editId="019A342A">
            <wp:extent cx="6638925" cy="69627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l="4007" t="15128" r="51122" b="6923"/>
                    <a:stretch>
                      <a:fillRect/>
                    </a:stretch>
                  </pic:blipFill>
                  <pic:spPr bwMode="auto">
                    <a:xfrm>
                      <a:off x="0" y="0"/>
                      <a:ext cx="6638925" cy="6962775"/>
                    </a:xfrm>
                    <a:prstGeom prst="rect">
                      <a:avLst/>
                    </a:prstGeom>
                    <a:noFill/>
                    <a:ln>
                      <a:noFill/>
                    </a:ln>
                  </pic:spPr>
                </pic:pic>
              </a:graphicData>
            </a:graphic>
          </wp:inline>
        </w:drawing>
      </w:r>
    </w:p>
    <w:p w14:paraId="250A3FC6" w14:textId="77777777" w:rsidR="00364553" w:rsidRDefault="00364553" w:rsidP="00364553">
      <w:pPr>
        <w:rPr>
          <w:rFonts w:ascii="Calibri" w:hAnsi="Calibri" w:cs="Calibri"/>
          <w:noProof/>
          <w:lang w:eastAsia="en-GB"/>
        </w:rPr>
      </w:pPr>
    </w:p>
    <w:p w14:paraId="153D531E" w14:textId="77777777" w:rsidR="00364553" w:rsidRDefault="00364553" w:rsidP="00364553">
      <w:pPr>
        <w:rPr>
          <w:rFonts w:ascii="Calibri" w:hAnsi="Calibri" w:cs="Calibri"/>
          <w:noProof/>
          <w:lang w:eastAsia="en-GB"/>
        </w:rPr>
      </w:pPr>
    </w:p>
    <w:p w14:paraId="6CAA649C" w14:textId="77777777" w:rsidR="00364553" w:rsidRDefault="00364553" w:rsidP="00364553">
      <w:pPr>
        <w:rPr>
          <w:rFonts w:ascii="Calibri" w:hAnsi="Calibri" w:cs="Calibri"/>
          <w:noProof/>
          <w:lang w:eastAsia="en-GB"/>
        </w:rPr>
      </w:pPr>
    </w:p>
    <w:p w14:paraId="5FE2B625" w14:textId="77777777" w:rsidR="00364553" w:rsidRPr="0070797B" w:rsidRDefault="00364553" w:rsidP="00644D19">
      <w:pPr>
        <w:pStyle w:val="Heading2"/>
        <w:jc w:val="left"/>
        <w:rPr>
          <w:color w:val="2F5496"/>
        </w:rPr>
      </w:pPr>
      <w:bookmarkStart w:id="73" w:name="_Toc46843678"/>
      <w:r w:rsidRPr="0070797B">
        <w:rPr>
          <w:color w:val="2F5496"/>
        </w:rPr>
        <w:lastRenderedPageBreak/>
        <w:t>16.6 Appendix VI: NMP leaving an organisation</w:t>
      </w:r>
      <w:bookmarkEnd w:id="73"/>
      <w:r w:rsidRPr="0070797B">
        <w:rPr>
          <w:color w:val="2F5496"/>
        </w:rPr>
        <w:t xml:space="preserve"> </w:t>
      </w:r>
    </w:p>
    <w:p w14:paraId="1772A4DA" w14:textId="77777777" w:rsidR="00364553" w:rsidRDefault="00364553" w:rsidP="00364553">
      <w:r>
        <w:t xml:space="preserve">Available from the NHS BSA website here (example form shown below): </w:t>
      </w:r>
      <w:r w:rsidRPr="00364553">
        <w:rPr>
          <w:rFonts w:eastAsia="Times New Roman"/>
          <w:b/>
          <w:bCs/>
          <w:sz w:val="24"/>
          <w:szCs w:val="28"/>
        </w:rPr>
        <w:t xml:space="preserve"> </w:t>
      </w:r>
      <w:hyperlink r:id="rId57" w:history="1">
        <w:r w:rsidRPr="00364553">
          <w:rPr>
            <w:rStyle w:val="Hyperlink"/>
          </w:rPr>
          <w:t>https://www.nhsbsa.nhs.uk/ccgs-area-teams-and-other-providers/organisation-and-prescriber-changes/ccgs</w:t>
        </w:r>
      </w:hyperlink>
    </w:p>
    <w:p w14:paraId="242AF8E4" w14:textId="77777777" w:rsidR="00364553" w:rsidRDefault="00364553" w:rsidP="00364553"/>
    <w:p w14:paraId="1F9B176D" w14:textId="77777777" w:rsidR="00364553" w:rsidRDefault="003A1159" w:rsidP="00364553">
      <w:pPr>
        <w:rPr>
          <w:rFonts w:ascii="Calibri" w:hAnsi="Calibri" w:cs="Calibri"/>
          <w:noProof/>
          <w:lang w:eastAsia="en-GB"/>
        </w:rPr>
      </w:pPr>
      <w:r w:rsidRPr="00364553">
        <w:rPr>
          <w:rFonts w:ascii="Calibri" w:hAnsi="Calibri" w:cs="Calibri"/>
          <w:noProof/>
          <w:lang w:eastAsia="en-GB"/>
        </w:rPr>
        <w:drawing>
          <wp:inline distT="0" distB="0" distL="0" distR="0" wp14:anchorId="13CFDF84" wp14:editId="28BE7D88">
            <wp:extent cx="6067425" cy="65246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val="0"/>
                        </a:ext>
                      </a:extLst>
                    </a:blip>
                    <a:srcRect l="1923" t="13589" r="51923" b="6410"/>
                    <a:stretch>
                      <a:fillRect/>
                    </a:stretch>
                  </pic:blipFill>
                  <pic:spPr bwMode="auto">
                    <a:xfrm>
                      <a:off x="0" y="0"/>
                      <a:ext cx="6067425" cy="6524625"/>
                    </a:xfrm>
                    <a:prstGeom prst="rect">
                      <a:avLst/>
                    </a:prstGeom>
                    <a:noFill/>
                    <a:ln>
                      <a:noFill/>
                    </a:ln>
                  </pic:spPr>
                </pic:pic>
              </a:graphicData>
            </a:graphic>
          </wp:inline>
        </w:drawing>
      </w:r>
    </w:p>
    <w:p w14:paraId="1BDE66D9" w14:textId="77777777" w:rsidR="00364553" w:rsidRDefault="00364553" w:rsidP="00364553">
      <w:pPr>
        <w:rPr>
          <w:rFonts w:ascii="Calibri" w:hAnsi="Calibri" w:cs="Calibri"/>
          <w:noProof/>
          <w:lang w:eastAsia="en-GB"/>
        </w:rPr>
      </w:pPr>
    </w:p>
    <w:p w14:paraId="3E1C59CA" w14:textId="77777777" w:rsidR="00364553" w:rsidRDefault="00364553" w:rsidP="00364553">
      <w:pPr>
        <w:rPr>
          <w:rFonts w:ascii="Calibri" w:hAnsi="Calibri" w:cs="Calibri"/>
          <w:noProof/>
          <w:lang w:eastAsia="en-GB"/>
        </w:rPr>
      </w:pPr>
    </w:p>
    <w:p w14:paraId="60AD74BF" w14:textId="77777777" w:rsidR="00364553" w:rsidRDefault="00364553" w:rsidP="00364553">
      <w:pPr>
        <w:rPr>
          <w:rFonts w:ascii="Calibri" w:hAnsi="Calibri" w:cs="Calibri"/>
          <w:noProof/>
          <w:lang w:eastAsia="en-GB"/>
        </w:rPr>
      </w:pPr>
    </w:p>
    <w:p w14:paraId="79649F78" w14:textId="77777777" w:rsidR="00364553" w:rsidRDefault="00364553" w:rsidP="00364553">
      <w:pPr>
        <w:rPr>
          <w:rFonts w:ascii="Calibri" w:hAnsi="Calibri" w:cs="Calibri"/>
          <w:noProof/>
          <w:lang w:eastAsia="en-GB"/>
        </w:rPr>
      </w:pPr>
    </w:p>
    <w:p w14:paraId="2446C7DD" w14:textId="77777777" w:rsidR="00364553" w:rsidRPr="0070797B" w:rsidRDefault="00364553" w:rsidP="00644D19">
      <w:pPr>
        <w:pStyle w:val="Heading2"/>
        <w:jc w:val="left"/>
        <w:rPr>
          <w:rFonts w:eastAsia="Arial"/>
          <w:color w:val="2F5496"/>
        </w:rPr>
      </w:pPr>
      <w:bookmarkStart w:id="74" w:name="_Toc46843679"/>
      <w:r w:rsidRPr="0070797B">
        <w:rPr>
          <w:rFonts w:eastAsia="Arial"/>
          <w:color w:val="2F5496"/>
        </w:rPr>
        <w:lastRenderedPageBreak/>
        <w:t>16.7 Appendix VII: Change of non-medical prescriber details</w:t>
      </w:r>
      <w:bookmarkEnd w:id="74"/>
    </w:p>
    <w:p w14:paraId="4A6E3A22" w14:textId="77777777" w:rsidR="00364553" w:rsidRDefault="00364553" w:rsidP="00364553">
      <w:r>
        <w:t xml:space="preserve">Available from the NHS BSA website here (example form shown below): </w:t>
      </w:r>
      <w:r w:rsidRPr="00364553">
        <w:rPr>
          <w:rFonts w:eastAsia="Times New Roman"/>
          <w:b/>
          <w:bCs/>
          <w:sz w:val="24"/>
          <w:szCs w:val="28"/>
        </w:rPr>
        <w:t xml:space="preserve"> </w:t>
      </w:r>
      <w:hyperlink r:id="rId59" w:history="1">
        <w:r w:rsidRPr="00364553">
          <w:rPr>
            <w:rStyle w:val="Hyperlink"/>
          </w:rPr>
          <w:t>https://www.nhsbsa.nhs.uk/ccgs-area-teams-and-other-providers/organisation-and-prescriber-changes/ccgs</w:t>
        </w:r>
      </w:hyperlink>
    </w:p>
    <w:p w14:paraId="01B903D2" w14:textId="77777777" w:rsidR="00364553" w:rsidRDefault="00364553" w:rsidP="00364553"/>
    <w:p w14:paraId="31D43E1F" w14:textId="77777777" w:rsidR="00364553" w:rsidRDefault="003A1159" w:rsidP="00364553">
      <w:pPr>
        <w:rPr>
          <w:rFonts w:ascii="Calibri" w:hAnsi="Calibri" w:cs="Calibri"/>
          <w:noProof/>
          <w:lang w:eastAsia="en-GB"/>
        </w:rPr>
      </w:pPr>
      <w:r w:rsidRPr="00364553">
        <w:rPr>
          <w:rFonts w:ascii="Calibri" w:hAnsi="Calibri" w:cs="Calibri"/>
          <w:noProof/>
          <w:lang w:eastAsia="en-GB"/>
        </w:rPr>
        <w:drawing>
          <wp:inline distT="0" distB="0" distL="0" distR="0" wp14:anchorId="2EE2A0B0" wp14:editId="473B4CB4">
            <wp:extent cx="6067425" cy="6772275"/>
            <wp:effectExtent l="0" t="0" r="0" b="0"/>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0">
                      <a:extLst>
                        <a:ext uri="{28A0092B-C50C-407E-A947-70E740481C1C}">
                          <a14:useLocalDpi xmlns:a14="http://schemas.microsoft.com/office/drawing/2010/main" val="0"/>
                        </a:ext>
                      </a:extLst>
                    </a:blip>
                    <a:srcRect l="11411" t="16924" r="51123" b="6154"/>
                    <a:stretch>
                      <a:fillRect/>
                    </a:stretch>
                  </pic:blipFill>
                  <pic:spPr bwMode="auto">
                    <a:xfrm>
                      <a:off x="0" y="0"/>
                      <a:ext cx="6067425" cy="6772275"/>
                    </a:xfrm>
                    <a:prstGeom prst="rect">
                      <a:avLst/>
                    </a:prstGeom>
                    <a:noFill/>
                    <a:ln>
                      <a:noFill/>
                    </a:ln>
                  </pic:spPr>
                </pic:pic>
              </a:graphicData>
            </a:graphic>
          </wp:inline>
        </w:drawing>
      </w:r>
    </w:p>
    <w:p w14:paraId="365FF2E5" w14:textId="77777777" w:rsidR="00364553" w:rsidRDefault="00364553" w:rsidP="00364553">
      <w:pPr>
        <w:rPr>
          <w:rFonts w:ascii="Calibri" w:hAnsi="Calibri" w:cs="Calibri"/>
          <w:noProof/>
          <w:lang w:eastAsia="en-GB"/>
        </w:rPr>
      </w:pPr>
    </w:p>
    <w:p w14:paraId="19F61E8D" w14:textId="77777777" w:rsidR="00364553" w:rsidRDefault="00364553" w:rsidP="00364553">
      <w:pPr>
        <w:rPr>
          <w:rFonts w:ascii="Calibri" w:hAnsi="Calibri" w:cs="Calibri"/>
          <w:noProof/>
          <w:lang w:eastAsia="en-GB"/>
        </w:rPr>
      </w:pPr>
    </w:p>
    <w:p w14:paraId="11FEB528" w14:textId="77777777" w:rsidR="00364553" w:rsidRDefault="00364553" w:rsidP="00364553">
      <w:pPr>
        <w:rPr>
          <w:rFonts w:ascii="Calibri" w:hAnsi="Calibri" w:cs="Calibri"/>
          <w:noProof/>
          <w:lang w:eastAsia="en-GB"/>
        </w:rPr>
      </w:pPr>
    </w:p>
    <w:p w14:paraId="73788044" w14:textId="77777777" w:rsidR="00364553" w:rsidRPr="0070797B" w:rsidRDefault="005D07F7" w:rsidP="00644D19">
      <w:pPr>
        <w:pStyle w:val="Heading2"/>
        <w:jc w:val="left"/>
        <w:rPr>
          <w:color w:val="2F5496"/>
        </w:rPr>
      </w:pPr>
      <w:bookmarkStart w:id="75" w:name="_Toc39152557"/>
      <w:bookmarkStart w:id="76" w:name="_Toc46843680"/>
      <w:r>
        <w:rPr>
          <w:color w:val="2F5496"/>
        </w:rPr>
        <w:lastRenderedPageBreak/>
        <w:t>16.8</w:t>
      </w:r>
      <w:r w:rsidR="00364553" w:rsidRPr="0070797B">
        <w:rPr>
          <w:color w:val="2F5496"/>
        </w:rPr>
        <w:t xml:space="preserve"> Appendix VIII Setting up Independent Non-Medical Prescribers on Practice Clinical Systems</w:t>
      </w:r>
      <w:bookmarkEnd w:id="75"/>
      <w:bookmarkEnd w:id="76"/>
    </w:p>
    <w:p w14:paraId="70DDAE81" w14:textId="77777777" w:rsidR="00364553" w:rsidRPr="00364553" w:rsidRDefault="00364553" w:rsidP="00364553"/>
    <w:p w14:paraId="037C8A2C" w14:textId="77777777" w:rsidR="00364553" w:rsidRPr="00364553" w:rsidRDefault="00364553" w:rsidP="00364553">
      <w:pPr>
        <w:rPr>
          <w:b/>
        </w:rPr>
      </w:pPr>
      <w:r w:rsidRPr="00364553">
        <w:rPr>
          <w:b/>
        </w:rPr>
        <w:t>EMIS Web</w:t>
      </w:r>
    </w:p>
    <w:p w14:paraId="5BCD5E79" w14:textId="77777777" w:rsidR="00364553" w:rsidRPr="00364553" w:rsidRDefault="00364553" w:rsidP="00364553">
      <w:r w:rsidRPr="00364553">
        <w:t>In order to prescribe using clinical systems. EMIS prescriber options in Organisation Configuration needs to be configured for all prescriber types (independent, supplementary and nurse prescribers). The practice manager/administrator can configure the medication module settings, such as medication review codes and printing options, in Medication Configuration.</w:t>
      </w:r>
    </w:p>
    <w:p w14:paraId="70AE3367" w14:textId="77777777" w:rsidR="00364553" w:rsidRPr="00364553" w:rsidRDefault="00364553" w:rsidP="00364553">
      <w:pPr>
        <w:rPr>
          <w:b/>
        </w:rPr>
      </w:pPr>
    </w:p>
    <w:p w14:paraId="65F6E263" w14:textId="77777777" w:rsidR="00364553" w:rsidRPr="00364553" w:rsidRDefault="00364553" w:rsidP="00364553">
      <w:pPr>
        <w:rPr>
          <w:b/>
        </w:rPr>
      </w:pPr>
      <w:r w:rsidRPr="00364553">
        <w:rPr>
          <w:b/>
        </w:rPr>
        <w:t>Prescribing users</w:t>
      </w:r>
    </w:p>
    <w:p w14:paraId="4B57E66D" w14:textId="77777777" w:rsidR="00364553" w:rsidRPr="00364553" w:rsidRDefault="00364553" w:rsidP="00364553">
      <w:r w:rsidRPr="00364553">
        <w:t>Smartcards need to be configured with the correct RBAC activity for the selected prescriber type - B0420 for Independent Prescribing. The appropriate option (e.g. Independent Prescribing) should also be selected in the Authorise Prescriptions field in the Role Section of the Add User or Edit User screen. For example, for an independent prescriber and select Independent Prescribing in the Authorise Prescriptions field, then RBAC activity B0420 Independent Prescribing needs to be added to the prescriber’s smartcard before prescribing can commence.</w:t>
      </w:r>
    </w:p>
    <w:p w14:paraId="062FC41C" w14:textId="77777777" w:rsidR="00364553" w:rsidRPr="00364553" w:rsidRDefault="00364553" w:rsidP="00364553">
      <w:pPr>
        <w:rPr>
          <w:b/>
        </w:rPr>
      </w:pPr>
    </w:p>
    <w:p w14:paraId="718317D9" w14:textId="77777777" w:rsidR="00364553" w:rsidRPr="00364553" w:rsidRDefault="00364553" w:rsidP="00364553">
      <w:pPr>
        <w:rPr>
          <w:b/>
        </w:rPr>
      </w:pPr>
      <w:r w:rsidRPr="00364553">
        <w:rPr>
          <w:b/>
        </w:rPr>
        <w:t>Configure a prescriber</w:t>
      </w:r>
    </w:p>
    <w:p w14:paraId="4D36CA14" w14:textId="77777777" w:rsidR="00364553" w:rsidRPr="00364553" w:rsidRDefault="00364553" w:rsidP="004A15C9">
      <w:pPr>
        <w:numPr>
          <w:ilvl w:val="0"/>
          <w:numId w:val="31"/>
        </w:numPr>
        <w:rPr>
          <w:bCs/>
        </w:rPr>
      </w:pPr>
      <w:bookmarkStart w:id="77" w:name="_Toc39152558"/>
      <w:r w:rsidRPr="00364553">
        <w:rPr>
          <w:bCs/>
        </w:rPr>
        <w:t>Access Users.</w:t>
      </w:r>
      <w:bookmarkEnd w:id="77"/>
    </w:p>
    <w:p w14:paraId="49F350FC" w14:textId="77777777" w:rsidR="00364553" w:rsidRPr="00364553" w:rsidRDefault="00364553" w:rsidP="004A15C9">
      <w:pPr>
        <w:numPr>
          <w:ilvl w:val="0"/>
          <w:numId w:val="31"/>
        </w:numPr>
        <w:rPr>
          <w:bCs/>
        </w:rPr>
      </w:pPr>
      <w:bookmarkStart w:id="78" w:name="_Toc39152559"/>
      <w:r w:rsidRPr="00364553">
        <w:rPr>
          <w:bCs/>
        </w:rPr>
        <w:t>Select the required user, and then on the ribbon, click Edit User.</w:t>
      </w:r>
      <w:bookmarkEnd w:id="78"/>
    </w:p>
    <w:p w14:paraId="1676A6B8" w14:textId="77777777" w:rsidR="00364553" w:rsidRPr="00364553" w:rsidRDefault="00364553" w:rsidP="004A15C9">
      <w:pPr>
        <w:numPr>
          <w:ilvl w:val="0"/>
          <w:numId w:val="31"/>
        </w:numPr>
        <w:rPr>
          <w:bCs/>
        </w:rPr>
      </w:pPr>
      <w:bookmarkStart w:id="79" w:name="_Toc39152560"/>
      <w:r w:rsidRPr="00364553">
        <w:rPr>
          <w:bCs/>
        </w:rPr>
        <w:t>In the left-hand pane of the Edit User screen, click Role to display the user’s role settings in the right-hand pane.</w:t>
      </w:r>
      <w:bookmarkEnd w:id="79"/>
    </w:p>
    <w:p w14:paraId="60E6AC25" w14:textId="77777777" w:rsidR="00364553" w:rsidRPr="00364553" w:rsidRDefault="00364553" w:rsidP="004A15C9">
      <w:pPr>
        <w:numPr>
          <w:ilvl w:val="0"/>
          <w:numId w:val="31"/>
        </w:numPr>
        <w:rPr>
          <w:bCs/>
        </w:rPr>
      </w:pPr>
      <w:bookmarkStart w:id="80" w:name="_Toc39152561"/>
      <w:r w:rsidRPr="00364553">
        <w:rPr>
          <w:bCs/>
        </w:rPr>
        <w:t>Check that the user has the appropriate job category.</w:t>
      </w:r>
      <w:bookmarkEnd w:id="80"/>
    </w:p>
    <w:p w14:paraId="0C66F657" w14:textId="77777777" w:rsidR="00364553" w:rsidRPr="00364553" w:rsidRDefault="00364553" w:rsidP="004A15C9">
      <w:pPr>
        <w:numPr>
          <w:ilvl w:val="0"/>
          <w:numId w:val="31"/>
        </w:numPr>
        <w:rPr>
          <w:bCs/>
        </w:rPr>
      </w:pPr>
      <w:bookmarkStart w:id="81" w:name="_Toc39152562"/>
      <w:r w:rsidRPr="00364553">
        <w:rPr>
          <w:bCs/>
        </w:rPr>
        <w:t>Click the Authorise Prescriptions field and select the required prescriber type.</w:t>
      </w:r>
      <w:bookmarkEnd w:id="81"/>
    </w:p>
    <w:p w14:paraId="6505147C" w14:textId="77777777" w:rsidR="00364553" w:rsidRPr="00364553" w:rsidRDefault="00364553" w:rsidP="004A15C9">
      <w:pPr>
        <w:numPr>
          <w:ilvl w:val="0"/>
          <w:numId w:val="31"/>
        </w:numPr>
        <w:rPr>
          <w:bCs/>
        </w:rPr>
      </w:pPr>
      <w:bookmarkStart w:id="82" w:name="_Toc39152563"/>
      <w:r w:rsidRPr="00364553">
        <w:rPr>
          <w:bCs/>
        </w:rPr>
        <w:t>Click the Stamp User Choice field and select one of the following:</w:t>
      </w:r>
      <w:bookmarkEnd w:id="82"/>
    </w:p>
    <w:p w14:paraId="0EEFD1AF" w14:textId="77777777" w:rsidR="00364553" w:rsidRPr="00364553" w:rsidRDefault="00364553" w:rsidP="004A15C9">
      <w:pPr>
        <w:numPr>
          <w:ilvl w:val="0"/>
          <w:numId w:val="30"/>
        </w:numPr>
      </w:pPr>
      <w:r w:rsidRPr="00364553">
        <w:t xml:space="preserve">“Own” – to use their own prescribing number (e.g. </w:t>
      </w:r>
      <w:proofErr w:type="spellStart"/>
      <w:r w:rsidRPr="00364553">
        <w:t>GPhC</w:t>
      </w:r>
      <w:proofErr w:type="spellEnd"/>
      <w:r w:rsidRPr="00364553">
        <w:t>/NMC number)</w:t>
      </w:r>
    </w:p>
    <w:p w14:paraId="214BEAFC" w14:textId="77777777" w:rsidR="00364553" w:rsidRPr="00364553" w:rsidRDefault="00364553" w:rsidP="004A15C9">
      <w:pPr>
        <w:numPr>
          <w:ilvl w:val="0"/>
          <w:numId w:val="30"/>
        </w:numPr>
      </w:pPr>
      <w:r w:rsidRPr="00364553">
        <w:t>“Senior partner” to use the senior partner’s PPA ID</w:t>
      </w:r>
    </w:p>
    <w:p w14:paraId="7882992A" w14:textId="77777777" w:rsidR="00364553" w:rsidRPr="00364553" w:rsidRDefault="00364553" w:rsidP="004A15C9">
      <w:pPr>
        <w:numPr>
          <w:ilvl w:val="0"/>
          <w:numId w:val="30"/>
        </w:numPr>
      </w:pPr>
      <w:r w:rsidRPr="00364553">
        <w:t>“Specify user…” if Senior partner isn’t available to select a GP partner</w:t>
      </w:r>
    </w:p>
    <w:p w14:paraId="453AD55F" w14:textId="77777777" w:rsidR="00364553" w:rsidRPr="00364553" w:rsidRDefault="00364553" w:rsidP="00364553">
      <w:r w:rsidRPr="00364553">
        <w:t>7. In the Relationship field, select the required option. For prescribers not directly employed by the practice select “Associated”. Note that independent prescribers prescribing under your practice will use the practice cost code and as such prescribing costs will fall to the individual practice.</w:t>
      </w:r>
    </w:p>
    <w:p w14:paraId="7D1873C0" w14:textId="77777777" w:rsidR="00364553" w:rsidRPr="00364553" w:rsidRDefault="00364553" w:rsidP="00364553">
      <w:r w:rsidRPr="00364553">
        <w:t>8. In the Professional Numbers section, type the user’s appropriate professional number(s).</w:t>
      </w:r>
    </w:p>
    <w:p w14:paraId="2E1D8F94" w14:textId="77777777" w:rsidR="00364553" w:rsidRPr="00364553" w:rsidRDefault="00364553" w:rsidP="00364553">
      <w:r w:rsidRPr="00364553">
        <w:t>The user should know their professional numbers.</w:t>
      </w:r>
    </w:p>
    <w:p w14:paraId="3F19D9F0" w14:textId="77777777" w:rsidR="00364553" w:rsidRPr="00364553" w:rsidRDefault="00364553" w:rsidP="00364553">
      <w:r w:rsidRPr="00364553">
        <w:t>If you do not complete this information in full, the user will not be able to prescribe.</w:t>
      </w:r>
    </w:p>
    <w:p w14:paraId="5DCA965D" w14:textId="77777777" w:rsidR="00364553" w:rsidRPr="00364553" w:rsidRDefault="00364553" w:rsidP="00364553">
      <w:r w:rsidRPr="00364553">
        <w:t>9. In the left-hand pane, click User Role Profiles to display the user’s role profile settings in the right-hand pane.</w:t>
      </w:r>
    </w:p>
    <w:p w14:paraId="3FF7673F" w14:textId="77777777" w:rsidR="00364553" w:rsidRPr="00364553" w:rsidRDefault="00364553" w:rsidP="00364553">
      <w:r w:rsidRPr="00364553">
        <w:t>10. If the user’s smartcard has not yet been synchronised:</w:t>
      </w:r>
    </w:p>
    <w:p w14:paraId="1140A039" w14:textId="77777777" w:rsidR="00364553" w:rsidRPr="00364553" w:rsidRDefault="00364553" w:rsidP="004A15C9">
      <w:pPr>
        <w:numPr>
          <w:ilvl w:val="0"/>
          <w:numId w:val="30"/>
        </w:numPr>
      </w:pPr>
      <w:r w:rsidRPr="00364553">
        <w:t>Click the RBAC Role field and select the appropriate local profile.</w:t>
      </w:r>
    </w:p>
    <w:p w14:paraId="774F775B" w14:textId="77777777" w:rsidR="00364553" w:rsidRPr="00364553" w:rsidRDefault="00364553" w:rsidP="004A15C9">
      <w:pPr>
        <w:numPr>
          <w:ilvl w:val="0"/>
          <w:numId w:val="30"/>
        </w:numPr>
      </w:pPr>
      <w:r w:rsidRPr="00364553">
        <w:t>In the Prescribing Role field, select Yes.</w:t>
      </w:r>
    </w:p>
    <w:p w14:paraId="3EA2D74B" w14:textId="77777777" w:rsidR="00364553" w:rsidRPr="00364553" w:rsidRDefault="00364553" w:rsidP="00364553">
      <w:r w:rsidRPr="00364553">
        <w:t>If the user’s smartcard has been synchronised, the RBAC Role field is greyed out and the Prescribing Role option is not displayed. For the user to be able to prescribe, the appropriate RBAC activity (i.e. their prescriber type) must be added to their smartcard by your RA team.</w:t>
      </w:r>
    </w:p>
    <w:p w14:paraId="082A2E31" w14:textId="77777777" w:rsidR="004B1202" w:rsidRDefault="00364553" w:rsidP="0070797B">
      <w:pPr>
        <w:jc w:val="left"/>
        <w:sectPr w:rsidR="004B1202" w:rsidSect="00A17CAB">
          <w:pgSz w:w="11906" w:h="16838"/>
          <w:pgMar w:top="1843" w:right="991" w:bottom="851" w:left="993" w:header="709" w:footer="446" w:gutter="0"/>
          <w:cols w:space="708"/>
          <w:docGrid w:linePitch="360"/>
        </w:sectPr>
      </w:pPr>
      <w:r w:rsidRPr="00364553">
        <w:t>11. Click OK.</w:t>
      </w:r>
    </w:p>
    <w:p w14:paraId="553ACE63" w14:textId="77777777" w:rsidR="004B1202" w:rsidRPr="0070797B" w:rsidRDefault="005D07F7" w:rsidP="00644D19">
      <w:pPr>
        <w:pStyle w:val="Heading2"/>
        <w:jc w:val="left"/>
        <w:rPr>
          <w:rFonts w:eastAsia="Calibri"/>
          <w:color w:val="2F5496"/>
        </w:rPr>
      </w:pPr>
      <w:bookmarkStart w:id="83" w:name="_Toc46843681"/>
      <w:r>
        <w:rPr>
          <w:color w:val="2F5496"/>
        </w:rPr>
        <w:lastRenderedPageBreak/>
        <w:t>16.9</w:t>
      </w:r>
      <w:r w:rsidR="004B1202" w:rsidRPr="0070797B">
        <w:rPr>
          <w:color w:val="2F5496"/>
        </w:rPr>
        <w:t xml:space="preserve"> </w:t>
      </w:r>
      <w:r w:rsidR="004B1202" w:rsidRPr="0070797B">
        <w:rPr>
          <w:rFonts w:eastAsia="Calibri"/>
          <w:color w:val="2F5496"/>
        </w:rPr>
        <w:t>Appendix IX Summary of prescriber type and prescribing restrictions</w:t>
      </w:r>
      <w:bookmarkEnd w:id="83"/>
    </w:p>
    <w:p w14:paraId="4C0C9BD5" w14:textId="77777777" w:rsidR="004B1202" w:rsidRDefault="004B1202" w:rsidP="004B1202"/>
    <w:tbl>
      <w:tblPr>
        <w:tblW w:w="1559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007"/>
        <w:gridCol w:w="2781"/>
        <w:gridCol w:w="2085"/>
        <w:gridCol w:w="1947"/>
        <w:gridCol w:w="2648"/>
      </w:tblGrid>
      <w:tr w:rsidR="00644D19" w:rsidRPr="004B1202" w14:paraId="668C7766" w14:textId="77777777" w:rsidTr="00BE42FC">
        <w:trPr>
          <w:trHeight w:val="748"/>
        </w:trPr>
        <w:tc>
          <w:tcPr>
            <w:tcW w:w="2127" w:type="dxa"/>
            <w:shd w:val="clear" w:color="auto" w:fill="auto"/>
          </w:tcPr>
          <w:p w14:paraId="1AC31B7D" w14:textId="77777777" w:rsidR="004B1202" w:rsidRPr="005902C6" w:rsidRDefault="004B1202" w:rsidP="005902C6">
            <w:pPr>
              <w:spacing w:before="0" w:after="0"/>
              <w:jc w:val="left"/>
              <w:rPr>
                <w:b/>
              </w:rPr>
            </w:pPr>
            <w:r w:rsidRPr="005902C6">
              <w:rPr>
                <w:b/>
              </w:rPr>
              <w:t>Type of Prescriber</w:t>
            </w:r>
          </w:p>
          <w:p w14:paraId="4A024D78" w14:textId="77777777" w:rsidR="004B1202" w:rsidRPr="005902C6" w:rsidRDefault="004B1202" w:rsidP="005902C6">
            <w:pPr>
              <w:spacing w:before="0" w:after="0"/>
              <w:jc w:val="left"/>
              <w:rPr>
                <w:b/>
              </w:rPr>
            </w:pPr>
          </w:p>
          <w:p w14:paraId="5562E43C" w14:textId="77777777" w:rsidR="004B1202" w:rsidRPr="005902C6" w:rsidRDefault="004B1202" w:rsidP="005902C6">
            <w:pPr>
              <w:spacing w:before="0" w:after="0"/>
              <w:jc w:val="left"/>
              <w:rPr>
                <w:b/>
              </w:rPr>
            </w:pPr>
          </w:p>
        </w:tc>
        <w:tc>
          <w:tcPr>
            <w:tcW w:w="4007" w:type="dxa"/>
            <w:shd w:val="clear" w:color="auto" w:fill="auto"/>
          </w:tcPr>
          <w:p w14:paraId="4DDAC45D" w14:textId="77777777" w:rsidR="004B1202" w:rsidRPr="005902C6" w:rsidRDefault="004B1202" w:rsidP="005902C6">
            <w:pPr>
              <w:spacing w:before="0" w:after="0"/>
              <w:jc w:val="left"/>
              <w:rPr>
                <w:b/>
              </w:rPr>
            </w:pPr>
            <w:r w:rsidRPr="005902C6">
              <w:rPr>
                <w:b/>
              </w:rPr>
              <w:t xml:space="preserve">Can prescribe controlled Drugs (CD) </w:t>
            </w:r>
          </w:p>
          <w:p w14:paraId="5CABF335" w14:textId="77777777" w:rsidR="004B1202" w:rsidRPr="005902C6" w:rsidRDefault="004B1202" w:rsidP="005902C6">
            <w:pPr>
              <w:spacing w:before="0" w:after="0"/>
              <w:jc w:val="left"/>
              <w:rPr>
                <w:b/>
              </w:rPr>
            </w:pPr>
            <w:r w:rsidRPr="005902C6">
              <w:rPr>
                <w:b/>
              </w:rPr>
              <w:t>Schedules 2 to 5</w:t>
            </w:r>
          </w:p>
        </w:tc>
        <w:tc>
          <w:tcPr>
            <w:tcW w:w="2781" w:type="dxa"/>
            <w:shd w:val="clear" w:color="auto" w:fill="auto"/>
          </w:tcPr>
          <w:p w14:paraId="4B9E26C6" w14:textId="77777777" w:rsidR="004B1202" w:rsidRPr="005902C6" w:rsidRDefault="004B1202" w:rsidP="005902C6">
            <w:pPr>
              <w:spacing w:before="0" w:after="0"/>
              <w:jc w:val="left"/>
              <w:rPr>
                <w:b/>
              </w:rPr>
            </w:pPr>
            <w:r w:rsidRPr="005902C6">
              <w:rPr>
                <w:b/>
              </w:rPr>
              <w:t>Can prescribe unlicensed medicines</w:t>
            </w:r>
          </w:p>
          <w:p w14:paraId="0D4250B3" w14:textId="77777777" w:rsidR="004B1202" w:rsidRPr="005902C6" w:rsidRDefault="004B1202" w:rsidP="005902C6">
            <w:pPr>
              <w:spacing w:before="0" w:after="0"/>
              <w:jc w:val="left"/>
              <w:rPr>
                <w:b/>
              </w:rPr>
            </w:pPr>
          </w:p>
        </w:tc>
        <w:tc>
          <w:tcPr>
            <w:tcW w:w="2085" w:type="dxa"/>
            <w:shd w:val="clear" w:color="auto" w:fill="auto"/>
          </w:tcPr>
          <w:p w14:paraId="441EA38A" w14:textId="77777777" w:rsidR="004B1202" w:rsidRPr="005902C6" w:rsidRDefault="004B1202" w:rsidP="005902C6">
            <w:pPr>
              <w:spacing w:before="0" w:after="0"/>
              <w:jc w:val="left"/>
              <w:rPr>
                <w:b/>
              </w:rPr>
            </w:pPr>
            <w:r w:rsidRPr="005902C6">
              <w:rPr>
                <w:b/>
              </w:rPr>
              <w:t>Other applicable considerations</w:t>
            </w:r>
          </w:p>
        </w:tc>
        <w:tc>
          <w:tcPr>
            <w:tcW w:w="1947" w:type="dxa"/>
            <w:shd w:val="clear" w:color="auto" w:fill="auto"/>
          </w:tcPr>
          <w:p w14:paraId="6674CE08" w14:textId="77777777" w:rsidR="004B1202" w:rsidRPr="005902C6" w:rsidRDefault="004B1202" w:rsidP="005902C6">
            <w:pPr>
              <w:spacing w:before="0" w:after="0"/>
              <w:jc w:val="left"/>
              <w:rPr>
                <w:b/>
              </w:rPr>
            </w:pPr>
            <w:r w:rsidRPr="005902C6">
              <w:rPr>
                <w:b/>
              </w:rPr>
              <w:t>Can authorise and emergency supply for items which can be prescribed</w:t>
            </w:r>
          </w:p>
        </w:tc>
        <w:tc>
          <w:tcPr>
            <w:tcW w:w="2648" w:type="dxa"/>
            <w:shd w:val="clear" w:color="auto" w:fill="auto"/>
          </w:tcPr>
          <w:p w14:paraId="2A10EE23" w14:textId="77777777" w:rsidR="004B1202" w:rsidRPr="005902C6" w:rsidRDefault="004B1202" w:rsidP="005902C6">
            <w:pPr>
              <w:spacing w:before="0" w:after="0"/>
              <w:jc w:val="left"/>
              <w:rPr>
                <w:b/>
              </w:rPr>
            </w:pPr>
            <w:r w:rsidRPr="005902C6">
              <w:rPr>
                <w:b/>
              </w:rPr>
              <w:t>Can provide Private Medical Services and issue private prescriptions</w:t>
            </w:r>
          </w:p>
        </w:tc>
      </w:tr>
      <w:tr w:rsidR="00644D19" w:rsidRPr="004B1202" w14:paraId="5206F1AF" w14:textId="77777777" w:rsidTr="00BE42FC">
        <w:trPr>
          <w:trHeight w:val="1350"/>
        </w:trPr>
        <w:tc>
          <w:tcPr>
            <w:tcW w:w="2127" w:type="dxa"/>
            <w:shd w:val="clear" w:color="auto" w:fill="auto"/>
          </w:tcPr>
          <w:p w14:paraId="35CD7738" w14:textId="77777777" w:rsidR="004B1202" w:rsidRPr="005902C6" w:rsidRDefault="004B1202" w:rsidP="005902C6">
            <w:pPr>
              <w:spacing w:before="0" w:after="0"/>
              <w:jc w:val="left"/>
              <w:rPr>
                <w:b/>
              </w:rPr>
            </w:pPr>
            <w:r w:rsidRPr="005902C6">
              <w:rPr>
                <w:b/>
              </w:rPr>
              <w:t>Pharmacist Independent Prescriber</w:t>
            </w:r>
          </w:p>
        </w:tc>
        <w:tc>
          <w:tcPr>
            <w:tcW w:w="4007" w:type="dxa"/>
            <w:shd w:val="clear" w:color="auto" w:fill="auto"/>
          </w:tcPr>
          <w:p w14:paraId="26638027" w14:textId="77777777" w:rsidR="004B1202" w:rsidRPr="004B1202" w:rsidRDefault="004B1202" w:rsidP="005902C6">
            <w:pPr>
              <w:spacing w:before="0" w:after="0"/>
              <w:jc w:val="left"/>
            </w:pPr>
            <w:r w:rsidRPr="004B1202">
              <w:t>Yes (but not cocaine, dipipanone or diamorphine for treating addiction). Address of prescriber must be within the UK</w:t>
            </w:r>
          </w:p>
        </w:tc>
        <w:tc>
          <w:tcPr>
            <w:tcW w:w="2781" w:type="dxa"/>
            <w:shd w:val="clear" w:color="auto" w:fill="auto"/>
          </w:tcPr>
          <w:p w14:paraId="523825B8" w14:textId="77777777" w:rsidR="004B1202" w:rsidRPr="004B1202" w:rsidRDefault="004B1202" w:rsidP="005902C6">
            <w:pPr>
              <w:spacing w:before="0" w:after="0"/>
              <w:jc w:val="left"/>
            </w:pPr>
            <w:r w:rsidRPr="004B1202">
              <w:t>Yes (Subject to accepted clinical good practice)</w:t>
            </w:r>
          </w:p>
        </w:tc>
        <w:tc>
          <w:tcPr>
            <w:tcW w:w="2085" w:type="dxa"/>
            <w:shd w:val="clear" w:color="auto" w:fill="auto"/>
          </w:tcPr>
          <w:p w14:paraId="4F0BDD9B" w14:textId="77777777" w:rsidR="004B1202" w:rsidRPr="004B1202" w:rsidRDefault="004B1202" w:rsidP="005902C6">
            <w:pPr>
              <w:spacing w:before="0" w:after="0"/>
              <w:jc w:val="left"/>
            </w:pPr>
            <w:r w:rsidRPr="004B1202">
              <w:t>Medicines for any</w:t>
            </w:r>
          </w:p>
          <w:p w14:paraId="15417461" w14:textId="77777777" w:rsidR="004B1202" w:rsidRPr="004B1202" w:rsidRDefault="004B1202" w:rsidP="005902C6">
            <w:pPr>
              <w:spacing w:before="0" w:after="0"/>
              <w:jc w:val="left"/>
            </w:pPr>
            <w:r w:rsidRPr="004B1202">
              <w:t>medical</w:t>
            </w:r>
          </w:p>
          <w:p w14:paraId="0B1A6464" w14:textId="77777777" w:rsidR="004B1202" w:rsidRPr="004B1202" w:rsidRDefault="004B1202" w:rsidP="005902C6">
            <w:pPr>
              <w:spacing w:before="0" w:after="0"/>
              <w:jc w:val="left"/>
            </w:pPr>
            <w:r w:rsidRPr="004B1202">
              <w:t>condition within</w:t>
            </w:r>
          </w:p>
          <w:p w14:paraId="0E89F7D2" w14:textId="77777777" w:rsidR="004B1202" w:rsidRPr="004B1202" w:rsidRDefault="004B1202" w:rsidP="005902C6">
            <w:pPr>
              <w:spacing w:before="0" w:after="0"/>
              <w:jc w:val="left"/>
            </w:pPr>
            <w:r w:rsidRPr="004B1202">
              <w:t>their competence</w:t>
            </w:r>
          </w:p>
        </w:tc>
        <w:tc>
          <w:tcPr>
            <w:tcW w:w="1947" w:type="dxa"/>
            <w:shd w:val="clear" w:color="auto" w:fill="auto"/>
          </w:tcPr>
          <w:p w14:paraId="5DF4DC33" w14:textId="77777777" w:rsidR="004B1202" w:rsidRPr="004B1202" w:rsidRDefault="004B1202" w:rsidP="005902C6">
            <w:pPr>
              <w:spacing w:before="0" w:after="0"/>
              <w:jc w:val="left"/>
            </w:pPr>
            <w:r w:rsidRPr="004B1202">
              <w:t>Yes. Includes phenobarbital</w:t>
            </w:r>
          </w:p>
          <w:p w14:paraId="15B0711D" w14:textId="77777777" w:rsidR="004B1202" w:rsidRPr="004B1202" w:rsidRDefault="004B1202" w:rsidP="005902C6">
            <w:pPr>
              <w:spacing w:before="0" w:after="0"/>
              <w:jc w:val="left"/>
            </w:pPr>
            <w:r w:rsidRPr="004B1202">
              <w:t xml:space="preserve">for epilepsy but not Schedule 1, 2 and 3 CDs </w:t>
            </w:r>
          </w:p>
          <w:p w14:paraId="2CF01E2F" w14:textId="77777777" w:rsidR="004B1202" w:rsidRPr="004B1202" w:rsidRDefault="004B1202" w:rsidP="005902C6">
            <w:pPr>
              <w:spacing w:before="0" w:after="0"/>
              <w:jc w:val="left"/>
            </w:pPr>
          </w:p>
        </w:tc>
        <w:tc>
          <w:tcPr>
            <w:tcW w:w="2648" w:type="dxa"/>
            <w:shd w:val="clear" w:color="auto" w:fill="auto"/>
          </w:tcPr>
          <w:p w14:paraId="12C2B0D7" w14:textId="77777777" w:rsidR="004B1202" w:rsidRPr="004B1202" w:rsidRDefault="004B1202" w:rsidP="005902C6">
            <w:pPr>
              <w:spacing w:before="0" w:after="0"/>
              <w:jc w:val="left"/>
            </w:pPr>
            <w:r w:rsidRPr="004B1202">
              <w:t>Any medicine</w:t>
            </w:r>
          </w:p>
        </w:tc>
      </w:tr>
      <w:tr w:rsidR="00644D19" w:rsidRPr="004B1202" w14:paraId="68FDD163" w14:textId="77777777" w:rsidTr="00BE42FC">
        <w:trPr>
          <w:trHeight w:val="2171"/>
        </w:trPr>
        <w:tc>
          <w:tcPr>
            <w:tcW w:w="2127" w:type="dxa"/>
            <w:shd w:val="clear" w:color="auto" w:fill="auto"/>
          </w:tcPr>
          <w:p w14:paraId="6F72AEA6" w14:textId="77777777" w:rsidR="004B1202" w:rsidRPr="005902C6" w:rsidRDefault="004B1202" w:rsidP="005902C6">
            <w:pPr>
              <w:spacing w:before="0" w:after="0"/>
              <w:jc w:val="left"/>
              <w:rPr>
                <w:b/>
              </w:rPr>
            </w:pPr>
            <w:r w:rsidRPr="005902C6">
              <w:rPr>
                <w:b/>
              </w:rPr>
              <w:t>Physiotherapist</w:t>
            </w:r>
          </w:p>
          <w:p w14:paraId="1DA2FB9C" w14:textId="77777777" w:rsidR="004B1202" w:rsidRPr="005902C6" w:rsidRDefault="004B1202" w:rsidP="005902C6">
            <w:pPr>
              <w:spacing w:before="0" w:after="0"/>
              <w:jc w:val="left"/>
              <w:rPr>
                <w:b/>
              </w:rPr>
            </w:pPr>
            <w:r w:rsidRPr="005902C6">
              <w:rPr>
                <w:b/>
              </w:rPr>
              <w:t>Independent Prescriber</w:t>
            </w:r>
          </w:p>
        </w:tc>
        <w:tc>
          <w:tcPr>
            <w:tcW w:w="4007" w:type="dxa"/>
            <w:shd w:val="clear" w:color="auto" w:fill="auto"/>
          </w:tcPr>
          <w:p w14:paraId="109B5954" w14:textId="77777777" w:rsidR="004B1202" w:rsidRPr="004B1202" w:rsidRDefault="004B1202" w:rsidP="005902C6">
            <w:pPr>
              <w:spacing w:before="0" w:after="0"/>
              <w:jc w:val="left"/>
            </w:pPr>
            <w:r w:rsidRPr="004B1202">
              <w:t xml:space="preserve">Only the following CDs: diazepam, dihydrocodeine, lorazepam, oxycodone and temazepam for </w:t>
            </w:r>
            <w:proofErr w:type="gramStart"/>
            <w:r w:rsidRPr="004B1202">
              <w:t>oral  administration</w:t>
            </w:r>
            <w:proofErr w:type="gramEnd"/>
            <w:r w:rsidRPr="004B1202">
              <w:t xml:space="preserve"> only; morphine for oral administration or for injection; fentanyl for transdermal administration1</w:t>
            </w:r>
          </w:p>
        </w:tc>
        <w:tc>
          <w:tcPr>
            <w:tcW w:w="2781" w:type="dxa"/>
            <w:shd w:val="clear" w:color="auto" w:fill="auto"/>
          </w:tcPr>
          <w:p w14:paraId="32BEB432" w14:textId="77777777" w:rsidR="004B1202" w:rsidRPr="004B1202" w:rsidRDefault="004B1202" w:rsidP="005902C6">
            <w:pPr>
              <w:spacing w:before="0" w:after="0"/>
              <w:jc w:val="left"/>
            </w:pPr>
            <w:r w:rsidRPr="004B1202">
              <w:t>Only ‘off-label’ medicines subject to accepted clinical good practice</w:t>
            </w:r>
          </w:p>
          <w:p w14:paraId="5913C358" w14:textId="77777777" w:rsidR="004B1202" w:rsidRPr="004B1202" w:rsidRDefault="004B1202" w:rsidP="005902C6">
            <w:pPr>
              <w:spacing w:before="0" w:after="0"/>
              <w:jc w:val="left"/>
            </w:pPr>
          </w:p>
        </w:tc>
        <w:tc>
          <w:tcPr>
            <w:tcW w:w="2085" w:type="dxa"/>
            <w:shd w:val="clear" w:color="auto" w:fill="auto"/>
          </w:tcPr>
          <w:p w14:paraId="6639F75C" w14:textId="77777777" w:rsidR="004B1202" w:rsidRPr="004B1202" w:rsidRDefault="004B1202" w:rsidP="005902C6">
            <w:pPr>
              <w:spacing w:before="0" w:after="0"/>
              <w:jc w:val="left"/>
            </w:pPr>
            <w:r w:rsidRPr="004B1202">
              <w:t>Medicines for any</w:t>
            </w:r>
          </w:p>
          <w:p w14:paraId="58D36FF1" w14:textId="77777777" w:rsidR="004B1202" w:rsidRPr="004B1202" w:rsidRDefault="004B1202" w:rsidP="005902C6">
            <w:pPr>
              <w:spacing w:before="0" w:after="0"/>
              <w:jc w:val="left"/>
            </w:pPr>
            <w:r w:rsidRPr="004B1202">
              <w:t>medical condition</w:t>
            </w:r>
          </w:p>
          <w:p w14:paraId="427A637E" w14:textId="77777777" w:rsidR="004B1202" w:rsidRPr="004B1202" w:rsidRDefault="004B1202" w:rsidP="005902C6">
            <w:pPr>
              <w:spacing w:before="0" w:after="0"/>
              <w:jc w:val="left"/>
            </w:pPr>
            <w:r w:rsidRPr="004B1202">
              <w:t xml:space="preserve">within </w:t>
            </w:r>
            <w:proofErr w:type="gramStart"/>
            <w:r w:rsidRPr="004B1202">
              <w:t>their</w:t>
            </w:r>
            <w:proofErr w:type="gramEnd"/>
          </w:p>
          <w:p w14:paraId="6C47A4AC" w14:textId="77777777" w:rsidR="004B1202" w:rsidRPr="004B1202" w:rsidRDefault="004B1202" w:rsidP="005902C6">
            <w:pPr>
              <w:spacing w:before="0" w:after="0"/>
              <w:jc w:val="left"/>
            </w:pPr>
            <w:r w:rsidRPr="004B1202">
              <w:t>competence</w:t>
            </w:r>
          </w:p>
        </w:tc>
        <w:tc>
          <w:tcPr>
            <w:tcW w:w="1947" w:type="dxa"/>
            <w:shd w:val="clear" w:color="auto" w:fill="auto"/>
          </w:tcPr>
          <w:p w14:paraId="13855AC4" w14:textId="77777777" w:rsidR="004B1202" w:rsidRPr="004B1202" w:rsidRDefault="004B1202" w:rsidP="005902C6">
            <w:pPr>
              <w:spacing w:before="0" w:after="0"/>
              <w:jc w:val="left"/>
            </w:pPr>
            <w:r w:rsidRPr="004B1202">
              <w:t>Yes, but not Schedule 1, 2, and</w:t>
            </w:r>
            <w:r w:rsidR="00CC2369">
              <w:t xml:space="preserve"> </w:t>
            </w:r>
            <w:r w:rsidRPr="004B1202">
              <w:t>3 CDs, including phenobarbital</w:t>
            </w:r>
          </w:p>
          <w:p w14:paraId="7DF7C37A" w14:textId="77777777" w:rsidR="004B1202" w:rsidRPr="004B1202" w:rsidRDefault="004B1202" w:rsidP="005902C6">
            <w:pPr>
              <w:spacing w:before="0" w:after="0"/>
              <w:jc w:val="left"/>
            </w:pPr>
          </w:p>
        </w:tc>
        <w:tc>
          <w:tcPr>
            <w:tcW w:w="2648" w:type="dxa"/>
            <w:shd w:val="clear" w:color="auto" w:fill="auto"/>
          </w:tcPr>
          <w:p w14:paraId="25131AF4" w14:textId="77777777" w:rsidR="004B1202" w:rsidRPr="004B1202" w:rsidRDefault="004B1202" w:rsidP="005902C6">
            <w:pPr>
              <w:spacing w:before="0" w:after="0"/>
            </w:pPr>
            <w:r w:rsidRPr="004B1202">
              <w:t>Any licensed medicine relevant to their role. May prescribe a limited number of Controlled Drugs.</w:t>
            </w:r>
          </w:p>
        </w:tc>
      </w:tr>
      <w:tr w:rsidR="00644D19" w:rsidRPr="004B1202" w14:paraId="25F247E1" w14:textId="77777777" w:rsidTr="00BE42FC">
        <w:trPr>
          <w:trHeight w:val="1366"/>
        </w:trPr>
        <w:tc>
          <w:tcPr>
            <w:tcW w:w="2127" w:type="dxa"/>
            <w:shd w:val="clear" w:color="auto" w:fill="auto"/>
          </w:tcPr>
          <w:p w14:paraId="6C56BF7E" w14:textId="77777777" w:rsidR="004B1202" w:rsidRPr="005902C6" w:rsidRDefault="004B1202" w:rsidP="005902C6">
            <w:pPr>
              <w:spacing w:before="0" w:after="0"/>
              <w:jc w:val="left"/>
              <w:rPr>
                <w:b/>
              </w:rPr>
            </w:pPr>
            <w:r w:rsidRPr="005902C6">
              <w:rPr>
                <w:b/>
              </w:rPr>
              <w:t>Podiatrist</w:t>
            </w:r>
          </w:p>
          <w:p w14:paraId="56FD40A1" w14:textId="77777777" w:rsidR="004B1202" w:rsidRPr="005902C6" w:rsidRDefault="004B1202" w:rsidP="005902C6">
            <w:pPr>
              <w:spacing w:before="0" w:after="0"/>
              <w:jc w:val="left"/>
              <w:rPr>
                <w:b/>
              </w:rPr>
            </w:pPr>
            <w:r w:rsidRPr="005902C6">
              <w:rPr>
                <w:b/>
              </w:rPr>
              <w:t>Independent Prescriber</w:t>
            </w:r>
          </w:p>
        </w:tc>
        <w:tc>
          <w:tcPr>
            <w:tcW w:w="4007" w:type="dxa"/>
            <w:shd w:val="clear" w:color="auto" w:fill="auto"/>
          </w:tcPr>
          <w:p w14:paraId="4CA54411" w14:textId="77777777" w:rsidR="004B1202" w:rsidRPr="004B1202" w:rsidRDefault="004B1202" w:rsidP="005902C6">
            <w:pPr>
              <w:spacing w:before="0" w:after="0"/>
              <w:jc w:val="left"/>
            </w:pPr>
            <w:r w:rsidRPr="004B1202">
              <w:t>Only the following CDs for oral administration: diazepam, dihydrocodeine, lorazepam and</w:t>
            </w:r>
          </w:p>
          <w:p w14:paraId="7B31295F" w14:textId="77777777" w:rsidR="004B1202" w:rsidRPr="004B1202" w:rsidRDefault="004B1202" w:rsidP="005902C6">
            <w:pPr>
              <w:spacing w:before="0" w:after="0"/>
              <w:jc w:val="left"/>
            </w:pPr>
            <w:r w:rsidRPr="004B1202">
              <w:t>temazepam</w:t>
            </w:r>
          </w:p>
        </w:tc>
        <w:tc>
          <w:tcPr>
            <w:tcW w:w="2781" w:type="dxa"/>
            <w:shd w:val="clear" w:color="auto" w:fill="auto"/>
          </w:tcPr>
          <w:p w14:paraId="280D229D" w14:textId="77777777" w:rsidR="004B1202" w:rsidRPr="004B1202" w:rsidRDefault="004B1202" w:rsidP="005902C6">
            <w:pPr>
              <w:spacing w:before="0" w:after="0"/>
              <w:jc w:val="left"/>
            </w:pPr>
            <w:r w:rsidRPr="004B1202">
              <w:t>Only ‘off-label’ medicines subject to accepted clinical good practice</w:t>
            </w:r>
          </w:p>
        </w:tc>
        <w:tc>
          <w:tcPr>
            <w:tcW w:w="2085" w:type="dxa"/>
            <w:shd w:val="clear" w:color="auto" w:fill="auto"/>
          </w:tcPr>
          <w:p w14:paraId="1AF5B9AE" w14:textId="77777777" w:rsidR="004B1202" w:rsidRPr="004B1202" w:rsidRDefault="004B1202" w:rsidP="005902C6">
            <w:pPr>
              <w:spacing w:before="0" w:after="0"/>
              <w:jc w:val="left"/>
            </w:pPr>
            <w:r w:rsidRPr="004B1202">
              <w:t xml:space="preserve">Medicines for any medical condition within </w:t>
            </w:r>
            <w:proofErr w:type="gramStart"/>
            <w:r w:rsidRPr="004B1202">
              <w:t>their</w:t>
            </w:r>
            <w:proofErr w:type="gramEnd"/>
          </w:p>
          <w:p w14:paraId="5FE0F71D" w14:textId="77777777" w:rsidR="004B1202" w:rsidRPr="004B1202" w:rsidRDefault="004B1202" w:rsidP="005902C6">
            <w:pPr>
              <w:spacing w:before="0" w:after="0"/>
              <w:jc w:val="left"/>
            </w:pPr>
            <w:r w:rsidRPr="004B1202">
              <w:t>competence</w:t>
            </w:r>
          </w:p>
        </w:tc>
        <w:tc>
          <w:tcPr>
            <w:tcW w:w="1947" w:type="dxa"/>
            <w:shd w:val="clear" w:color="auto" w:fill="auto"/>
          </w:tcPr>
          <w:p w14:paraId="5475087F" w14:textId="77777777" w:rsidR="004B1202" w:rsidRPr="004B1202" w:rsidRDefault="004B1202" w:rsidP="005902C6">
            <w:pPr>
              <w:spacing w:before="0" w:after="0"/>
              <w:jc w:val="left"/>
            </w:pPr>
            <w:r w:rsidRPr="004B1202">
              <w:t>Yes, but not Schedule 1, 2, and</w:t>
            </w:r>
            <w:r w:rsidR="00CC2369">
              <w:t xml:space="preserve"> </w:t>
            </w:r>
            <w:r w:rsidRPr="004B1202">
              <w:t>3 CDs, including phenobarbital</w:t>
            </w:r>
          </w:p>
          <w:p w14:paraId="28D3DEBC" w14:textId="77777777" w:rsidR="004B1202" w:rsidRPr="004B1202" w:rsidRDefault="004B1202" w:rsidP="005902C6">
            <w:pPr>
              <w:spacing w:before="0" w:after="0"/>
              <w:jc w:val="left"/>
            </w:pPr>
          </w:p>
        </w:tc>
        <w:tc>
          <w:tcPr>
            <w:tcW w:w="2648" w:type="dxa"/>
            <w:shd w:val="clear" w:color="auto" w:fill="auto"/>
          </w:tcPr>
          <w:p w14:paraId="631489AB" w14:textId="77777777" w:rsidR="004B1202" w:rsidRPr="004B1202" w:rsidRDefault="004B1202" w:rsidP="005902C6">
            <w:pPr>
              <w:spacing w:before="0" w:after="0"/>
              <w:jc w:val="left"/>
            </w:pPr>
            <w:r w:rsidRPr="004B1202">
              <w:t xml:space="preserve">Any licensed medicine relevant to their role. May prescribe a limited number of Controlled Drugs </w:t>
            </w:r>
          </w:p>
        </w:tc>
      </w:tr>
      <w:tr w:rsidR="00644D19" w:rsidRPr="004B1202" w14:paraId="46C6BCEF" w14:textId="77777777" w:rsidTr="00BE42FC">
        <w:trPr>
          <w:trHeight w:val="1625"/>
        </w:trPr>
        <w:tc>
          <w:tcPr>
            <w:tcW w:w="2127" w:type="dxa"/>
            <w:shd w:val="clear" w:color="auto" w:fill="auto"/>
          </w:tcPr>
          <w:p w14:paraId="5ABC45A6" w14:textId="77777777" w:rsidR="004B1202" w:rsidRPr="005902C6" w:rsidRDefault="004B1202" w:rsidP="005902C6">
            <w:pPr>
              <w:spacing w:before="0" w:after="0"/>
              <w:jc w:val="left"/>
              <w:rPr>
                <w:b/>
              </w:rPr>
            </w:pPr>
            <w:r w:rsidRPr="005902C6">
              <w:rPr>
                <w:b/>
              </w:rPr>
              <w:lastRenderedPageBreak/>
              <w:t>Nurse</w:t>
            </w:r>
          </w:p>
          <w:p w14:paraId="03C8D304" w14:textId="77777777" w:rsidR="004B1202" w:rsidRPr="005902C6" w:rsidRDefault="004B1202" w:rsidP="005902C6">
            <w:pPr>
              <w:spacing w:before="0" w:after="0"/>
              <w:jc w:val="left"/>
              <w:rPr>
                <w:b/>
              </w:rPr>
            </w:pPr>
            <w:r w:rsidRPr="005902C6">
              <w:rPr>
                <w:b/>
              </w:rPr>
              <w:t>Independent Prescriber</w:t>
            </w:r>
          </w:p>
        </w:tc>
        <w:tc>
          <w:tcPr>
            <w:tcW w:w="4007" w:type="dxa"/>
            <w:shd w:val="clear" w:color="auto" w:fill="auto"/>
          </w:tcPr>
          <w:p w14:paraId="4A53EE89" w14:textId="77777777" w:rsidR="004B1202" w:rsidRPr="004B1202" w:rsidRDefault="004B1202" w:rsidP="005902C6">
            <w:pPr>
              <w:spacing w:before="0" w:after="0"/>
              <w:jc w:val="left"/>
            </w:pPr>
            <w:r w:rsidRPr="004B1202">
              <w:t>Yes (but not cocaine, dipipanone or</w:t>
            </w:r>
          </w:p>
          <w:p w14:paraId="10F2CC73" w14:textId="77777777" w:rsidR="004B1202" w:rsidRPr="004B1202" w:rsidRDefault="004B1202" w:rsidP="005902C6">
            <w:pPr>
              <w:spacing w:before="0" w:after="0"/>
              <w:jc w:val="left"/>
            </w:pPr>
            <w:r w:rsidRPr="004B1202">
              <w:t>diamorphine for treating addiction) Address of prescriber must be within the UK unless prescribing Schedule 4 or 5 CDs</w:t>
            </w:r>
          </w:p>
        </w:tc>
        <w:tc>
          <w:tcPr>
            <w:tcW w:w="2781" w:type="dxa"/>
            <w:shd w:val="clear" w:color="auto" w:fill="auto"/>
          </w:tcPr>
          <w:p w14:paraId="4D9A009D" w14:textId="77777777" w:rsidR="004B1202" w:rsidRPr="004B1202" w:rsidRDefault="004B1202" w:rsidP="005902C6">
            <w:pPr>
              <w:spacing w:before="0" w:after="0"/>
              <w:jc w:val="left"/>
            </w:pPr>
            <w:r w:rsidRPr="004B1202">
              <w:t>Unlicensed medicines are</w:t>
            </w:r>
          </w:p>
          <w:p w14:paraId="281660A7" w14:textId="77777777" w:rsidR="004B1202" w:rsidRPr="004B1202" w:rsidRDefault="004B1202" w:rsidP="005902C6">
            <w:pPr>
              <w:spacing w:before="0" w:after="0"/>
              <w:jc w:val="left"/>
            </w:pPr>
            <w:r w:rsidRPr="004B1202">
              <w:t>excluded from the Nurse Prescribing Formulary in</w:t>
            </w:r>
          </w:p>
          <w:p w14:paraId="7D86A36E" w14:textId="77777777" w:rsidR="004B1202" w:rsidRPr="004B1202" w:rsidRDefault="004B1202" w:rsidP="005902C6">
            <w:pPr>
              <w:spacing w:before="0" w:after="0"/>
              <w:jc w:val="left"/>
            </w:pPr>
            <w:r w:rsidRPr="004B1202">
              <w:t>Scotland and therefore not</w:t>
            </w:r>
          </w:p>
          <w:p w14:paraId="3138BF14" w14:textId="77777777" w:rsidR="004B1202" w:rsidRPr="004B1202" w:rsidRDefault="004B1202" w:rsidP="005902C6">
            <w:pPr>
              <w:spacing w:before="0" w:after="0"/>
              <w:jc w:val="left"/>
            </w:pPr>
            <w:r w:rsidRPr="004B1202">
              <w:t>reimbursed on NHS prescriptions</w:t>
            </w:r>
          </w:p>
        </w:tc>
        <w:tc>
          <w:tcPr>
            <w:tcW w:w="2085" w:type="dxa"/>
            <w:shd w:val="clear" w:color="auto" w:fill="auto"/>
          </w:tcPr>
          <w:p w14:paraId="69072F84" w14:textId="77777777" w:rsidR="004B1202" w:rsidRPr="004B1202" w:rsidRDefault="004B1202" w:rsidP="005902C6">
            <w:pPr>
              <w:spacing w:before="0" w:after="0"/>
              <w:jc w:val="left"/>
            </w:pPr>
            <w:r w:rsidRPr="004B1202">
              <w:t xml:space="preserve">Medicines for any medical condition within </w:t>
            </w:r>
            <w:proofErr w:type="gramStart"/>
            <w:r w:rsidRPr="004B1202">
              <w:t>their</w:t>
            </w:r>
            <w:proofErr w:type="gramEnd"/>
          </w:p>
          <w:p w14:paraId="53B6BF35" w14:textId="77777777" w:rsidR="004B1202" w:rsidRPr="004B1202" w:rsidRDefault="004B1202" w:rsidP="005902C6">
            <w:pPr>
              <w:spacing w:before="0" w:after="0"/>
              <w:jc w:val="left"/>
            </w:pPr>
            <w:r w:rsidRPr="004B1202">
              <w:t>competence</w:t>
            </w:r>
          </w:p>
        </w:tc>
        <w:tc>
          <w:tcPr>
            <w:tcW w:w="1947" w:type="dxa"/>
            <w:shd w:val="clear" w:color="auto" w:fill="auto"/>
          </w:tcPr>
          <w:p w14:paraId="24D22F72" w14:textId="77777777" w:rsidR="004B1202" w:rsidRPr="004B1202" w:rsidRDefault="004B1202" w:rsidP="005902C6">
            <w:pPr>
              <w:spacing w:before="0" w:after="0"/>
              <w:jc w:val="left"/>
            </w:pPr>
            <w:r w:rsidRPr="004B1202">
              <w:t>Yes. Includes phenobarbital for epilepsy but not Schedule 1, 2</w:t>
            </w:r>
          </w:p>
          <w:p w14:paraId="2E72DE10" w14:textId="77777777" w:rsidR="004B1202" w:rsidRPr="004B1202" w:rsidRDefault="004B1202" w:rsidP="005902C6">
            <w:pPr>
              <w:spacing w:before="0" w:after="0"/>
              <w:jc w:val="left"/>
            </w:pPr>
            <w:r w:rsidRPr="004B1202">
              <w:t xml:space="preserve">and 3 CDs </w:t>
            </w:r>
          </w:p>
          <w:p w14:paraId="07BDE7C1" w14:textId="77777777" w:rsidR="004B1202" w:rsidRPr="004B1202" w:rsidRDefault="004B1202" w:rsidP="005902C6">
            <w:pPr>
              <w:spacing w:before="0" w:after="0"/>
              <w:jc w:val="left"/>
            </w:pPr>
          </w:p>
        </w:tc>
        <w:tc>
          <w:tcPr>
            <w:tcW w:w="2648" w:type="dxa"/>
            <w:shd w:val="clear" w:color="auto" w:fill="auto"/>
          </w:tcPr>
          <w:p w14:paraId="1B7085B9" w14:textId="77777777" w:rsidR="004B1202" w:rsidRPr="004B1202" w:rsidRDefault="004B1202" w:rsidP="005902C6">
            <w:pPr>
              <w:spacing w:before="0" w:after="0"/>
              <w:jc w:val="left"/>
            </w:pPr>
            <w:r w:rsidRPr="004B1202">
              <w:t>Any medicine</w:t>
            </w:r>
          </w:p>
        </w:tc>
      </w:tr>
      <w:tr w:rsidR="00644D19" w:rsidRPr="004B1202" w14:paraId="37F7DE72" w14:textId="77777777" w:rsidTr="00BE42FC">
        <w:trPr>
          <w:trHeight w:val="1609"/>
        </w:trPr>
        <w:tc>
          <w:tcPr>
            <w:tcW w:w="2127" w:type="dxa"/>
            <w:shd w:val="clear" w:color="auto" w:fill="auto"/>
          </w:tcPr>
          <w:p w14:paraId="514AF58A" w14:textId="77777777" w:rsidR="004B1202" w:rsidRPr="005902C6" w:rsidRDefault="004B1202" w:rsidP="005902C6">
            <w:pPr>
              <w:spacing w:before="0" w:after="0"/>
              <w:jc w:val="left"/>
              <w:rPr>
                <w:b/>
              </w:rPr>
            </w:pPr>
            <w:r w:rsidRPr="005902C6">
              <w:rPr>
                <w:b/>
              </w:rPr>
              <w:t>Optometrist</w:t>
            </w:r>
          </w:p>
          <w:p w14:paraId="43BA8B5F" w14:textId="77777777" w:rsidR="004B1202" w:rsidRPr="005902C6" w:rsidRDefault="004B1202" w:rsidP="005902C6">
            <w:pPr>
              <w:spacing w:before="0" w:after="0"/>
              <w:jc w:val="left"/>
              <w:rPr>
                <w:b/>
              </w:rPr>
            </w:pPr>
            <w:r w:rsidRPr="005902C6">
              <w:rPr>
                <w:b/>
              </w:rPr>
              <w:t>Independent</w:t>
            </w:r>
          </w:p>
          <w:p w14:paraId="668185FD" w14:textId="77777777" w:rsidR="004B1202" w:rsidRPr="005902C6" w:rsidRDefault="004B1202" w:rsidP="005902C6">
            <w:pPr>
              <w:spacing w:before="0" w:after="0"/>
              <w:jc w:val="left"/>
              <w:rPr>
                <w:b/>
              </w:rPr>
            </w:pPr>
            <w:r w:rsidRPr="005902C6">
              <w:rPr>
                <w:b/>
              </w:rPr>
              <w:t>Prescriber</w:t>
            </w:r>
          </w:p>
        </w:tc>
        <w:tc>
          <w:tcPr>
            <w:tcW w:w="4007" w:type="dxa"/>
            <w:shd w:val="clear" w:color="auto" w:fill="auto"/>
          </w:tcPr>
          <w:p w14:paraId="11FE29E2" w14:textId="77777777" w:rsidR="004B1202" w:rsidRPr="004B1202" w:rsidRDefault="004B1202" w:rsidP="005902C6">
            <w:pPr>
              <w:spacing w:before="0" w:after="0"/>
              <w:jc w:val="left"/>
            </w:pPr>
            <w:r w:rsidRPr="004B1202">
              <w:t>No</w:t>
            </w:r>
          </w:p>
        </w:tc>
        <w:tc>
          <w:tcPr>
            <w:tcW w:w="2781" w:type="dxa"/>
            <w:shd w:val="clear" w:color="auto" w:fill="auto"/>
          </w:tcPr>
          <w:p w14:paraId="5E9976F3" w14:textId="77777777" w:rsidR="004B1202" w:rsidRPr="004B1202" w:rsidRDefault="004B1202" w:rsidP="005902C6">
            <w:pPr>
              <w:spacing w:before="0" w:after="0"/>
              <w:jc w:val="left"/>
            </w:pPr>
            <w:r w:rsidRPr="004B1202">
              <w:t>Only ‘off-label’ medicines subject to accepted clinical good practice</w:t>
            </w:r>
          </w:p>
        </w:tc>
        <w:tc>
          <w:tcPr>
            <w:tcW w:w="2085" w:type="dxa"/>
            <w:shd w:val="clear" w:color="auto" w:fill="auto"/>
          </w:tcPr>
          <w:p w14:paraId="40753CCB" w14:textId="77777777" w:rsidR="004B1202" w:rsidRPr="004B1202" w:rsidRDefault="004B1202" w:rsidP="005902C6">
            <w:pPr>
              <w:spacing w:before="0" w:after="0"/>
              <w:jc w:val="left"/>
            </w:pPr>
            <w:r w:rsidRPr="004B1202">
              <w:t>For ocular conditions affecting the eye and surrounding tissue only</w:t>
            </w:r>
          </w:p>
        </w:tc>
        <w:tc>
          <w:tcPr>
            <w:tcW w:w="1947" w:type="dxa"/>
            <w:shd w:val="clear" w:color="auto" w:fill="auto"/>
          </w:tcPr>
          <w:p w14:paraId="6CA9FC87" w14:textId="77777777" w:rsidR="004B1202" w:rsidRPr="004B1202" w:rsidRDefault="004B1202" w:rsidP="005902C6">
            <w:pPr>
              <w:spacing w:before="0" w:after="0"/>
              <w:jc w:val="left"/>
            </w:pPr>
            <w:proofErr w:type="gramStart"/>
            <w:r w:rsidRPr="004B1202">
              <w:t>Yes</w:t>
            </w:r>
            <w:proofErr w:type="gramEnd"/>
            <w:r w:rsidRPr="004B1202">
              <w:t xml:space="preserve"> for ocular treatment but not for Controlled drugs.</w:t>
            </w:r>
          </w:p>
        </w:tc>
        <w:tc>
          <w:tcPr>
            <w:tcW w:w="2648" w:type="dxa"/>
            <w:shd w:val="clear" w:color="auto" w:fill="auto"/>
          </w:tcPr>
          <w:p w14:paraId="5049BD81" w14:textId="77777777" w:rsidR="004B1202" w:rsidRPr="004B1202" w:rsidRDefault="004B1202" w:rsidP="005902C6">
            <w:pPr>
              <w:spacing w:before="0" w:after="0"/>
              <w:jc w:val="left"/>
            </w:pPr>
            <w:r w:rsidRPr="004B1202">
              <w:t>Any licensed medicines for treatment of ocular conditions. May not prescribe Controlled Drugs</w:t>
            </w:r>
          </w:p>
        </w:tc>
      </w:tr>
      <w:tr w:rsidR="00644D19" w:rsidRPr="004B1202" w14:paraId="27097D4E" w14:textId="77777777" w:rsidTr="00BE42FC">
        <w:trPr>
          <w:trHeight w:val="1350"/>
        </w:trPr>
        <w:tc>
          <w:tcPr>
            <w:tcW w:w="2127" w:type="dxa"/>
            <w:shd w:val="clear" w:color="auto" w:fill="auto"/>
          </w:tcPr>
          <w:p w14:paraId="3B1D9A6C" w14:textId="77777777" w:rsidR="004B1202" w:rsidRPr="005902C6" w:rsidRDefault="004B1202" w:rsidP="005902C6">
            <w:pPr>
              <w:spacing w:before="0" w:after="0"/>
              <w:jc w:val="left"/>
              <w:rPr>
                <w:b/>
              </w:rPr>
            </w:pPr>
            <w:r w:rsidRPr="005902C6">
              <w:rPr>
                <w:b/>
              </w:rPr>
              <w:t>Therapeutic radiographer</w:t>
            </w:r>
          </w:p>
          <w:p w14:paraId="79BA075C" w14:textId="77777777" w:rsidR="004B1202" w:rsidRPr="005902C6" w:rsidRDefault="004B1202" w:rsidP="005902C6">
            <w:pPr>
              <w:spacing w:before="0" w:after="0"/>
              <w:jc w:val="left"/>
              <w:rPr>
                <w:b/>
              </w:rPr>
            </w:pPr>
            <w:r w:rsidRPr="005902C6">
              <w:rPr>
                <w:b/>
              </w:rPr>
              <w:t>Independent Prescriber</w:t>
            </w:r>
          </w:p>
        </w:tc>
        <w:tc>
          <w:tcPr>
            <w:tcW w:w="4007" w:type="dxa"/>
            <w:shd w:val="clear" w:color="auto" w:fill="auto"/>
          </w:tcPr>
          <w:p w14:paraId="70B9445D" w14:textId="77777777" w:rsidR="004B1202" w:rsidRPr="004B1202" w:rsidRDefault="004B1202" w:rsidP="005902C6">
            <w:pPr>
              <w:spacing w:before="0" w:after="0"/>
              <w:jc w:val="left"/>
            </w:pPr>
            <w:r w:rsidRPr="004B1202">
              <w:t>At the time of writing proposed changes to legislation in relation to the use of certain</w:t>
            </w:r>
          </w:p>
          <w:p w14:paraId="0E808C04" w14:textId="77777777" w:rsidR="004B1202" w:rsidRPr="004B1202" w:rsidRDefault="004B1202" w:rsidP="005902C6">
            <w:pPr>
              <w:spacing w:before="0" w:after="0"/>
              <w:jc w:val="left"/>
            </w:pPr>
            <w:r w:rsidRPr="004B1202">
              <w:t>CDs were still to be considered by the Home Office</w:t>
            </w:r>
          </w:p>
        </w:tc>
        <w:tc>
          <w:tcPr>
            <w:tcW w:w="2781" w:type="dxa"/>
            <w:shd w:val="clear" w:color="auto" w:fill="auto"/>
          </w:tcPr>
          <w:p w14:paraId="74881C0A" w14:textId="77777777" w:rsidR="004B1202" w:rsidRPr="004B1202" w:rsidRDefault="004B1202" w:rsidP="005902C6">
            <w:pPr>
              <w:spacing w:before="0" w:after="0"/>
              <w:jc w:val="left"/>
            </w:pPr>
            <w:r w:rsidRPr="004B1202">
              <w:t>Only ‘off label’</w:t>
            </w:r>
          </w:p>
          <w:p w14:paraId="24A89A61" w14:textId="77777777" w:rsidR="004B1202" w:rsidRPr="004B1202" w:rsidRDefault="004B1202" w:rsidP="005902C6">
            <w:pPr>
              <w:spacing w:before="0" w:after="0"/>
              <w:jc w:val="left"/>
            </w:pPr>
            <w:r w:rsidRPr="004B1202">
              <w:t>medicines subject</w:t>
            </w:r>
          </w:p>
          <w:p w14:paraId="733740B2" w14:textId="77777777" w:rsidR="004B1202" w:rsidRPr="004B1202" w:rsidRDefault="004B1202" w:rsidP="005902C6">
            <w:pPr>
              <w:spacing w:before="0" w:after="0"/>
              <w:jc w:val="left"/>
            </w:pPr>
            <w:r w:rsidRPr="004B1202">
              <w:t>to accepted clinical</w:t>
            </w:r>
          </w:p>
          <w:p w14:paraId="29B9D51E" w14:textId="77777777" w:rsidR="004B1202" w:rsidRPr="004B1202" w:rsidRDefault="004B1202" w:rsidP="005902C6">
            <w:pPr>
              <w:spacing w:before="0" w:after="0"/>
              <w:jc w:val="left"/>
            </w:pPr>
            <w:r w:rsidRPr="004B1202">
              <w:t>good practice</w:t>
            </w:r>
          </w:p>
        </w:tc>
        <w:tc>
          <w:tcPr>
            <w:tcW w:w="2085" w:type="dxa"/>
            <w:shd w:val="clear" w:color="auto" w:fill="auto"/>
          </w:tcPr>
          <w:p w14:paraId="59319B77" w14:textId="77777777" w:rsidR="004B1202" w:rsidRPr="004B1202" w:rsidRDefault="004B1202" w:rsidP="005902C6">
            <w:pPr>
              <w:spacing w:before="0" w:after="0"/>
              <w:jc w:val="left"/>
            </w:pPr>
            <w:r w:rsidRPr="004B1202">
              <w:t>Medicines for any medical</w:t>
            </w:r>
          </w:p>
          <w:p w14:paraId="5F260D94" w14:textId="77777777" w:rsidR="004B1202" w:rsidRPr="004B1202" w:rsidRDefault="004B1202" w:rsidP="005902C6">
            <w:pPr>
              <w:spacing w:before="0" w:after="0"/>
              <w:jc w:val="left"/>
            </w:pPr>
            <w:r w:rsidRPr="004B1202">
              <w:t>condition within their competence</w:t>
            </w:r>
          </w:p>
        </w:tc>
        <w:tc>
          <w:tcPr>
            <w:tcW w:w="1947" w:type="dxa"/>
            <w:shd w:val="clear" w:color="auto" w:fill="auto"/>
          </w:tcPr>
          <w:p w14:paraId="51E3CF71" w14:textId="77777777" w:rsidR="004B1202" w:rsidRPr="004B1202" w:rsidRDefault="004B1202" w:rsidP="005902C6">
            <w:pPr>
              <w:spacing w:before="0" w:after="0"/>
              <w:jc w:val="left"/>
            </w:pPr>
            <w:r w:rsidRPr="004B1202">
              <w:t>Yes, but not Schedule 1, 2</w:t>
            </w:r>
          </w:p>
          <w:p w14:paraId="2B99F260" w14:textId="77777777" w:rsidR="004B1202" w:rsidRPr="004B1202" w:rsidRDefault="004B1202" w:rsidP="005902C6">
            <w:pPr>
              <w:spacing w:before="0" w:after="0"/>
              <w:jc w:val="left"/>
            </w:pPr>
            <w:r w:rsidRPr="004B1202">
              <w:t xml:space="preserve">and 3 CDs, including </w:t>
            </w:r>
          </w:p>
          <w:p w14:paraId="4BF41BED" w14:textId="77777777" w:rsidR="004B1202" w:rsidRPr="004B1202" w:rsidRDefault="004B1202" w:rsidP="005902C6">
            <w:pPr>
              <w:spacing w:before="0" w:after="0"/>
              <w:jc w:val="left"/>
            </w:pPr>
            <w:r w:rsidRPr="004B1202">
              <w:t>phenobarbital</w:t>
            </w:r>
          </w:p>
        </w:tc>
        <w:tc>
          <w:tcPr>
            <w:tcW w:w="2648" w:type="dxa"/>
            <w:shd w:val="clear" w:color="auto" w:fill="auto"/>
          </w:tcPr>
          <w:p w14:paraId="6EE01EC6" w14:textId="77777777" w:rsidR="004B1202" w:rsidRPr="004B1202" w:rsidRDefault="004B1202" w:rsidP="005902C6">
            <w:pPr>
              <w:spacing w:before="0" w:after="0"/>
              <w:jc w:val="left"/>
            </w:pPr>
            <w:r w:rsidRPr="004B1202">
              <w:t>Any licensed medicine relevant to their role. May prescribe a limited number of Controlled Drugs</w:t>
            </w:r>
          </w:p>
        </w:tc>
      </w:tr>
      <w:tr w:rsidR="00644D19" w:rsidRPr="004B1202" w14:paraId="5D0AA89C" w14:textId="77777777" w:rsidTr="00BE42FC">
        <w:trPr>
          <w:trHeight w:val="1350"/>
        </w:trPr>
        <w:tc>
          <w:tcPr>
            <w:tcW w:w="2127" w:type="dxa"/>
            <w:shd w:val="clear" w:color="auto" w:fill="auto"/>
          </w:tcPr>
          <w:p w14:paraId="3218D80D" w14:textId="77777777" w:rsidR="004B1202" w:rsidRPr="005902C6" w:rsidRDefault="004B1202" w:rsidP="005902C6">
            <w:pPr>
              <w:spacing w:before="0" w:after="0"/>
              <w:jc w:val="left"/>
              <w:rPr>
                <w:b/>
              </w:rPr>
            </w:pPr>
            <w:r w:rsidRPr="005902C6">
              <w:rPr>
                <w:b/>
              </w:rPr>
              <w:t>Community Practitioner</w:t>
            </w:r>
          </w:p>
          <w:p w14:paraId="7E2545D5" w14:textId="77777777" w:rsidR="004B1202" w:rsidRPr="005902C6" w:rsidRDefault="004B1202" w:rsidP="005902C6">
            <w:pPr>
              <w:spacing w:before="0" w:after="0"/>
              <w:jc w:val="left"/>
              <w:rPr>
                <w:b/>
              </w:rPr>
            </w:pPr>
            <w:r w:rsidRPr="005902C6">
              <w:rPr>
                <w:b/>
              </w:rPr>
              <w:t>Nurse</w:t>
            </w:r>
          </w:p>
        </w:tc>
        <w:tc>
          <w:tcPr>
            <w:tcW w:w="4007" w:type="dxa"/>
            <w:shd w:val="clear" w:color="auto" w:fill="auto"/>
          </w:tcPr>
          <w:p w14:paraId="76F4F7C8" w14:textId="77777777" w:rsidR="004B1202" w:rsidRPr="004B1202" w:rsidRDefault="004B1202" w:rsidP="005902C6">
            <w:pPr>
              <w:spacing w:before="0" w:after="0"/>
              <w:jc w:val="left"/>
            </w:pPr>
            <w:r w:rsidRPr="004B1202">
              <w:t>No</w:t>
            </w:r>
          </w:p>
        </w:tc>
        <w:tc>
          <w:tcPr>
            <w:tcW w:w="2781" w:type="dxa"/>
            <w:shd w:val="clear" w:color="auto" w:fill="auto"/>
          </w:tcPr>
          <w:p w14:paraId="2ED2BA27" w14:textId="77777777" w:rsidR="004B1202" w:rsidRPr="004B1202" w:rsidRDefault="004B1202" w:rsidP="005902C6">
            <w:pPr>
              <w:spacing w:before="0" w:after="0"/>
              <w:jc w:val="left"/>
            </w:pPr>
            <w:r w:rsidRPr="004B1202">
              <w:t>No</w:t>
            </w:r>
          </w:p>
        </w:tc>
        <w:tc>
          <w:tcPr>
            <w:tcW w:w="2085" w:type="dxa"/>
            <w:shd w:val="clear" w:color="auto" w:fill="auto"/>
          </w:tcPr>
          <w:p w14:paraId="653C45CE" w14:textId="77777777" w:rsidR="004B1202" w:rsidRPr="004B1202" w:rsidRDefault="004B1202" w:rsidP="005902C6">
            <w:pPr>
              <w:spacing w:before="0" w:after="0"/>
              <w:jc w:val="left"/>
            </w:pPr>
            <w:r w:rsidRPr="004B1202">
              <w:t xml:space="preserve">Restricted </w:t>
            </w:r>
            <w:proofErr w:type="gramStart"/>
            <w:r w:rsidRPr="004B1202">
              <w:t>to  dressings</w:t>
            </w:r>
            <w:proofErr w:type="gramEnd"/>
            <w:r w:rsidRPr="004B1202">
              <w:t>, appliances and licensed medicines which are listed</w:t>
            </w:r>
          </w:p>
          <w:p w14:paraId="544ECF4B" w14:textId="77777777" w:rsidR="004B1202" w:rsidRPr="004B1202" w:rsidRDefault="004B1202" w:rsidP="005902C6">
            <w:pPr>
              <w:spacing w:before="0" w:after="0"/>
              <w:jc w:val="left"/>
            </w:pPr>
            <w:r w:rsidRPr="004B1202">
              <w:t>in the Nurse Prescribers’</w:t>
            </w:r>
          </w:p>
          <w:p w14:paraId="6E7359D1" w14:textId="77777777" w:rsidR="004B1202" w:rsidRPr="004B1202" w:rsidRDefault="004B1202" w:rsidP="005902C6">
            <w:pPr>
              <w:spacing w:before="0" w:after="0"/>
              <w:jc w:val="left"/>
            </w:pPr>
            <w:r w:rsidRPr="004B1202">
              <w:t>Formulary (see BNF)</w:t>
            </w:r>
          </w:p>
        </w:tc>
        <w:tc>
          <w:tcPr>
            <w:tcW w:w="1947" w:type="dxa"/>
            <w:shd w:val="clear" w:color="auto" w:fill="auto"/>
          </w:tcPr>
          <w:p w14:paraId="5A49A481" w14:textId="77777777" w:rsidR="004B1202" w:rsidRPr="004B1202" w:rsidRDefault="004B1202" w:rsidP="005902C6">
            <w:pPr>
              <w:spacing w:before="0" w:after="0"/>
              <w:jc w:val="left"/>
            </w:pPr>
            <w:r w:rsidRPr="004B1202">
              <w:t>Restricted to NPF</w:t>
            </w:r>
          </w:p>
        </w:tc>
        <w:tc>
          <w:tcPr>
            <w:tcW w:w="2648" w:type="dxa"/>
            <w:shd w:val="clear" w:color="auto" w:fill="auto"/>
          </w:tcPr>
          <w:p w14:paraId="5638D32F" w14:textId="77777777" w:rsidR="004B1202" w:rsidRPr="004B1202" w:rsidRDefault="004B1202" w:rsidP="005902C6">
            <w:pPr>
              <w:spacing w:before="0" w:after="0"/>
              <w:jc w:val="left"/>
            </w:pPr>
            <w:r w:rsidRPr="004B1202">
              <w:t>Yes, restricted to their areas of competence and items in the NPF</w:t>
            </w:r>
          </w:p>
        </w:tc>
      </w:tr>
      <w:tr w:rsidR="00644D19" w:rsidRPr="004B1202" w14:paraId="1C6E17E0" w14:textId="77777777" w:rsidTr="00BE42FC">
        <w:trPr>
          <w:trHeight w:val="1092"/>
        </w:trPr>
        <w:tc>
          <w:tcPr>
            <w:tcW w:w="2127" w:type="dxa"/>
            <w:shd w:val="clear" w:color="auto" w:fill="auto"/>
          </w:tcPr>
          <w:p w14:paraId="7CF35025" w14:textId="77777777" w:rsidR="004B1202" w:rsidRPr="005902C6" w:rsidRDefault="004B1202" w:rsidP="005902C6">
            <w:pPr>
              <w:spacing w:before="0" w:after="0"/>
              <w:jc w:val="left"/>
              <w:rPr>
                <w:b/>
              </w:rPr>
            </w:pPr>
            <w:r w:rsidRPr="005902C6">
              <w:rPr>
                <w:b/>
              </w:rPr>
              <w:t>Paramedic</w:t>
            </w:r>
          </w:p>
          <w:p w14:paraId="1D5695BA" w14:textId="77777777" w:rsidR="004B1202" w:rsidRPr="005902C6" w:rsidRDefault="004B1202" w:rsidP="005902C6">
            <w:pPr>
              <w:spacing w:before="0" w:after="0"/>
              <w:jc w:val="left"/>
              <w:rPr>
                <w:b/>
              </w:rPr>
            </w:pPr>
            <w:r w:rsidRPr="005902C6">
              <w:rPr>
                <w:b/>
              </w:rPr>
              <w:t>Independent Prescriber</w:t>
            </w:r>
          </w:p>
        </w:tc>
        <w:tc>
          <w:tcPr>
            <w:tcW w:w="4007" w:type="dxa"/>
            <w:shd w:val="clear" w:color="auto" w:fill="auto"/>
          </w:tcPr>
          <w:p w14:paraId="1DBAC4D5" w14:textId="77777777" w:rsidR="004B1202" w:rsidRPr="004B1202" w:rsidRDefault="004B1202" w:rsidP="005902C6">
            <w:pPr>
              <w:spacing w:before="0" w:after="0"/>
              <w:jc w:val="left"/>
            </w:pPr>
            <w:r w:rsidRPr="004B1202">
              <w:t>Subject to legislative changes</w:t>
            </w:r>
          </w:p>
        </w:tc>
        <w:tc>
          <w:tcPr>
            <w:tcW w:w="2781" w:type="dxa"/>
            <w:shd w:val="clear" w:color="auto" w:fill="auto"/>
          </w:tcPr>
          <w:p w14:paraId="211DE510" w14:textId="77777777" w:rsidR="004B1202" w:rsidRPr="004B1202" w:rsidRDefault="004B1202" w:rsidP="005902C6">
            <w:pPr>
              <w:spacing w:before="0" w:after="0"/>
              <w:jc w:val="left"/>
            </w:pPr>
            <w:r w:rsidRPr="004B1202">
              <w:t>Only ‘off-label’ medicines subject</w:t>
            </w:r>
          </w:p>
          <w:p w14:paraId="12E96DCF" w14:textId="77777777" w:rsidR="004B1202" w:rsidRPr="004B1202" w:rsidRDefault="004B1202" w:rsidP="005902C6">
            <w:pPr>
              <w:spacing w:before="0" w:after="0"/>
              <w:jc w:val="left"/>
            </w:pPr>
            <w:r w:rsidRPr="004B1202">
              <w:t>to accepted clinical good practice</w:t>
            </w:r>
          </w:p>
        </w:tc>
        <w:tc>
          <w:tcPr>
            <w:tcW w:w="2085" w:type="dxa"/>
            <w:shd w:val="clear" w:color="auto" w:fill="auto"/>
          </w:tcPr>
          <w:p w14:paraId="20264D42" w14:textId="77777777" w:rsidR="004B1202" w:rsidRPr="004B1202" w:rsidRDefault="004B1202" w:rsidP="005902C6">
            <w:pPr>
              <w:spacing w:before="0" w:after="0"/>
              <w:jc w:val="left"/>
            </w:pPr>
            <w:r w:rsidRPr="004B1202">
              <w:t>Medicines for any medical</w:t>
            </w:r>
          </w:p>
          <w:p w14:paraId="786E9326" w14:textId="77777777" w:rsidR="004B1202" w:rsidRPr="004B1202" w:rsidRDefault="004B1202" w:rsidP="005902C6">
            <w:pPr>
              <w:spacing w:before="0" w:after="0"/>
              <w:jc w:val="left"/>
            </w:pPr>
            <w:r w:rsidRPr="004B1202">
              <w:t>condition within their competence</w:t>
            </w:r>
          </w:p>
        </w:tc>
        <w:tc>
          <w:tcPr>
            <w:tcW w:w="1947" w:type="dxa"/>
            <w:shd w:val="clear" w:color="auto" w:fill="auto"/>
          </w:tcPr>
          <w:p w14:paraId="450FFF28" w14:textId="77777777" w:rsidR="004B1202" w:rsidRPr="004B1202" w:rsidRDefault="004B1202" w:rsidP="005902C6">
            <w:pPr>
              <w:spacing w:before="0" w:after="0"/>
              <w:jc w:val="left"/>
            </w:pPr>
          </w:p>
        </w:tc>
        <w:tc>
          <w:tcPr>
            <w:tcW w:w="2648" w:type="dxa"/>
            <w:shd w:val="clear" w:color="auto" w:fill="auto"/>
          </w:tcPr>
          <w:p w14:paraId="11BC802B" w14:textId="77777777" w:rsidR="004B1202" w:rsidRPr="004B1202" w:rsidRDefault="004B1202" w:rsidP="005902C6">
            <w:pPr>
              <w:spacing w:before="0" w:after="0"/>
              <w:jc w:val="left"/>
            </w:pPr>
            <w:r w:rsidRPr="004B1202">
              <w:t>Yes, but not</w:t>
            </w:r>
          </w:p>
          <w:p w14:paraId="078DB4E9" w14:textId="77777777" w:rsidR="004B1202" w:rsidRPr="004B1202" w:rsidRDefault="004B1202" w:rsidP="005902C6">
            <w:pPr>
              <w:spacing w:before="0" w:after="0"/>
              <w:jc w:val="left"/>
            </w:pPr>
            <w:r w:rsidRPr="004B1202">
              <w:t>Schedule 1, 2 and</w:t>
            </w:r>
          </w:p>
          <w:p w14:paraId="62620677" w14:textId="77777777" w:rsidR="004B1202" w:rsidRPr="004B1202" w:rsidRDefault="004B1202" w:rsidP="005902C6">
            <w:pPr>
              <w:spacing w:before="0" w:after="0"/>
              <w:jc w:val="left"/>
            </w:pPr>
            <w:r w:rsidRPr="004B1202">
              <w:t>3 CDs, including</w:t>
            </w:r>
          </w:p>
          <w:p w14:paraId="659EE96E" w14:textId="77777777" w:rsidR="004B1202" w:rsidRPr="004B1202" w:rsidRDefault="004B1202" w:rsidP="005902C6">
            <w:pPr>
              <w:spacing w:before="0" w:after="0"/>
              <w:jc w:val="left"/>
            </w:pPr>
            <w:r w:rsidRPr="004B1202">
              <w:t>phenobarbital</w:t>
            </w:r>
          </w:p>
        </w:tc>
      </w:tr>
    </w:tbl>
    <w:p w14:paraId="4696A9F7" w14:textId="77777777" w:rsidR="00CC2369" w:rsidRDefault="00CC2369">
      <w:r>
        <w:br w:type="page"/>
      </w:r>
    </w:p>
    <w:tbl>
      <w:tblPr>
        <w:tblW w:w="15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3432"/>
        <w:gridCol w:w="2745"/>
        <w:gridCol w:w="2061"/>
        <w:gridCol w:w="1919"/>
        <w:gridCol w:w="2616"/>
      </w:tblGrid>
      <w:tr w:rsidR="00644D19" w:rsidRPr="004B1202" w14:paraId="399B07A7" w14:textId="77777777" w:rsidTr="00BE42FC">
        <w:trPr>
          <w:trHeight w:val="2319"/>
        </w:trPr>
        <w:tc>
          <w:tcPr>
            <w:tcW w:w="2246" w:type="dxa"/>
            <w:shd w:val="clear" w:color="auto" w:fill="auto"/>
          </w:tcPr>
          <w:p w14:paraId="1D034E69" w14:textId="77777777" w:rsidR="004B1202" w:rsidRPr="005902C6" w:rsidRDefault="004B1202" w:rsidP="005902C6">
            <w:pPr>
              <w:spacing w:before="0" w:after="0"/>
              <w:jc w:val="left"/>
              <w:rPr>
                <w:b/>
              </w:rPr>
            </w:pPr>
            <w:r w:rsidRPr="005902C6">
              <w:rPr>
                <w:b/>
              </w:rPr>
              <w:lastRenderedPageBreak/>
              <w:t>Supplementary prescriber</w:t>
            </w:r>
          </w:p>
          <w:p w14:paraId="22E3D848" w14:textId="77777777" w:rsidR="004B1202" w:rsidRPr="005902C6" w:rsidRDefault="004B1202" w:rsidP="005902C6">
            <w:pPr>
              <w:spacing w:before="0" w:after="0"/>
              <w:jc w:val="left"/>
              <w:rPr>
                <w:b/>
              </w:rPr>
            </w:pPr>
            <w:r w:rsidRPr="005902C6">
              <w:rPr>
                <w:b/>
              </w:rPr>
              <w:t>Pharmacist, Mid-wife, Nurse, Chiropodist, dietician, Physiotherapist, radiographer or Optometrist</w:t>
            </w:r>
          </w:p>
        </w:tc>
        <w:tc>
          <w:tcPr>
            <w:tcW w:w="3432" w:type="dxa"/>
            <w:shd w:val="clear" w:color="auto" w:fill="auto"/>
          </w:tcPr>
          <w:p w14:paraId="19ECF63C" w14:textId="77777777" w:rsidR="004B1202" w:rsidRPr="004B1202" w:rsidRDefault="004B1202" w:rsidP="005902C6">
            <w:pPr>
              <w:spacing w:before="0" w:after="0"/>
              <w:jc w:val="left"/>
            </w:pPr>
            <w:r w:rsidRPr="004B1202">
              <w:t>Yes (but not cocaine, dipipanone or</w:t>
            </w:r>
          </w:p>
          <w:p w14:paraId="32AF187D" w14:textId="77777777" w:rsidR="004B1202" w:rsidRPr="004B1202" w:rsidRDefault="004B1202" w:rsidP="005902C6">
            <w:pPr>
              <w:spacing w:before="0" w:after="0"/>
              <w:jc w:val="left"/>
            </w:pPr>
            <w:r w:rsidRPr="004B1202">
              <w:t>diamorphine for treating addiction)</w:t>
            </w:r>
          </w:p>
          <w:p w14:paraId="024B5233" w14:textId="77777777" w:rsidR="004B1202" w:rsidRPr="004B1202" w:rsidRDefault="004B1202" w:rsidP="005902C6">
            <w:pPr>
              <w:spacing w:before="0" w:after="0"/>
              <w:jc w:val="left"/>
            </w:pPr>
            <w:r w:rsidRPr="004B1202">
              <w:t>Address of prescriber must be within the UK unless prescribing Schedule 4 or 5 CD</w:t>
            </w:r>
          </w:p>
        </w:tc>
        <w:tc>
          <w:tcPr>
            <w:tcW w:w="2745" w:type="dxa"/>
            <w:shd w:val="clear" w:color="auto" w:fill="auto"/>
          </w:tcPr>
          <w:p w14:paraId="1E9D1964" w14:textId="77777777" w:rsidR="004B1202" w:rsidRPr="004B1202" w:rsidRDefault="004B1202" w:rsidP="005902C6">
            <w:pPr>
              <w:spacing w:before="0" w:after="0"/>
              <w:jc w:val="left"/>
            </w:pPr>
            <w:r w:rsidRPr="004B1202">
              <w:t>Yes (subject</w:t>
            </w:r>
          </w:p>
          <w:p w14:paraId="0BE3C0EA" w14:textId="77777777" w:rsidR="004B1202" w:rsidRPr="004B1202" w:rsidRDefault="004B1202" w:rsidP="005902C6">
            <w:pPr>
              <w:spacing w:before="0" w:after="0"/>
              <w:jc w:val="left"/>
            </w:pPr>
            <w:r w:rsidRPr="004B1202">
              <w:t>to accepted clinical</w:t>
            </w:r>
          </w:p>
          <w:p w14:paraId="3B6C823C" w14:textId="77777777" w:rsidR="004B1202" w:rsidRPr="004B1202" w:rsidRDefault="004B1202" w:rsidP="005902C6">
            <w:pPr>
              <w:spacing w:before="0" w:after="0"/>
              <w:jc w:val="left"/>
            </w:pPr>
            <w:r w:rsidRPr="004B1202">
              <w:t>good practice)</w:t>
            </w:r>
          </w:p>
        </w:tc>
        <w:tc>
          <w:tcPr>
            <w:tcW w:w="2061" w:type="dxa"/>
            <w:shd w:val="clear" w:color="auto" w:fill="auto"/>
          </w:tcPr>
          <w:p w14:paraId="4CCD1E99" w14:textId="77777777" w:rsidR="004B1202" w:rsidRPr="004B1202" w:rsidRDefault="004B1202" w:rsidP="005902C6">
            <w:pPr>
              <w:spacing w:before="0" w:after="0"/>
              <w:jc w:val="left"/>
            </w:pPr>
            <w:r w:rsidRPr="004B1202">
              <w:t>Prescribed items are subject to clinical competence and</w:t>
            </w:r>
          </w:p>
          <w:p w14:paraId="741BB583" w14:textId="77777777" w:rsidR="004B1202" w:rsidRPr="004B1202" w:rsidRDefault="004B1202" w:rsidP="005902C6">
            <w:pPr>
              <w:spacing w:before="0" w:after="0"/>
              <w:jc w:val="left"/>
            </w:pPr>
            <w:r w:rsidRPr="004B1202">
              <w:t>inclusion within a clinical management plan agreed</w:t>
            </w:r>
          </w:p>
        </w:tc>
        <w:tc>
          <w:tcPr>
            <w:tcW w:w="1919" w:type="dxa"/>
            <w:shd w:val="clear" w:color="auto" w:fill="auto"/>
          </w:tcPr>
          <w:p w14:paraId="660F4BF0" w14:textId="77777777" w:rsidR="004B1202" w:rsidRPr="004B1202" w:rsidRDefault="004B1202" w:rsidP="005902C6">
            <w:pPr>
              <w:spacing w:before="0" w:after="0"/>
              <w:jc w:val="left"/>
            </w:pPr>
          </w:p>
        </w:tc>
        <w:tc>
          <w:tcPr>
            <w:tcW w:w="2616" w:type="dxa"/>
            <w:shd w:val="clear" w:color="auto" w:fill="auto"/>
          </w:tcPr>
          <w:p w14:paraId="73E11F02" w14:textId="77777777" w:rsidR="004B1202" w:rsidRPr="004B1202" w:rsidRDefault="004B1202" w:rsidP="005902C6">
            <w:pPr>
              <w:spacing w:before="0" w:after="0"/>
              <w:jc w:val="left"/>
            </w:pPr>
            <w:r w:rsidRPr="004B1202">
              <w:t>Yes. Includes phenobarbital</w:t>
            </w:r>
          </w:p>
          <w:p w14:paraId="1E6F945A" w14:textId="77777777" w:rsidR="004B1202" w:rsidRPr="004B1202" w:rsidRDefault="004B1202" w:rsidP="005902C6">
            <w:pPr>
              <w:spacing w:before="0" w:after="0"/>
              <w:jc w:val="left"/>
            </w:pPr>
            <w:r w:rsidRPr="004B1202">
              <w:t>for epilepsy but not Schedule 1, 2 and 3 CDs</w:t>
            </w:r>
          </w:p>
        </w:tc>
      </w:tr>
    </w:tbl>
    <w:p w14:paraId="0B816C09" w14:textId="77777777" w:rsidR="00CC2369" w:rsidRDefault="004B1202" w:rsidP="004B1202">
      <w:pPr>
        <w:tabs>
          <w:tab w:val="left" w:pos="2620"/>
        </w:tabs>
        <w:jc w:val="left"/>
      </w:pPr>
      <w:r>
        <w:t xml:space="preserve">Taken from </w:t>
      </w:r>
      <w:r w:rsidRPr="004B1202">
        <w:t xml:space="preserve">Royal Pharmaceutical Society: </w:t>
      </w:r>
      <w:hyperlink r:id="rId61" w:history="1">
        <w:r w:rsidRPr="004B1202">
          <w:rPr>
            <w:rStyle w:val="Hyperlink"/>
          </w:rPr>
          <w:t>Medicines, Ethics and Practice Edition 43 July 2019</w:t>
        </w:r>
      </w:hyperlink>
      <w:r w:rsidRPr="004B1202">
        <w:t xml:space="preserve"> </w:t>
      </w:r>
    </w:p>
    <w:p w14:paraId="7F1A4AFD" w14:textId="77777777" w:rsidR="00CC2369" w:rsidRDefault="00CC2369" w:rsidP="004B1202">
      <w:pPr>
        <w:tabs>
          <w:tab w:val="left" w:pos="2620"/>
        </w:tabs>
        <w:jc w:val="left"/>
      </w:pPr>
    </w:p>
    <w:p w14:paraId="2EBBD52E" w14:textId="77777777" w:rsidR="004B1202" w:rsidRPr="004B1202" w:rsidRDefault="003A1159" w:rsidP="004B1202">
      <w:pPr>
        <w:tabs>
          <w:tab w:val="left" w:pos="2620"/>
        </w:tabs>
        <w:jc w:val="left"/>
      </w:pPr>
      <w:r w:rsidRPr="004B1202">
        <w:rPr>
          <w:noProof/>
          <w:lang w:eastAsia="en-GB"/>
        </w:rPr>
        <mc:AlternateContent>
          <mc:Choice Requires="wps">
            <w:drawing>
              <wp:anchor distT="0" distB="0" distL="114300" distR="114300" simplePos="0" relativeHeight="251657728" behindDoc="0" locked="0" layoutInCell="1" allowOverlap="1" wp14:anchorId="48FA5F88" wp14:editId="482FC729">
                <wp:simplePos x="0" y="0"/>
                <wp:positionH relativeFrom="column">
                  <wp:posOffset>3935095</wp:posOffset>
                </wp:positionH>
                <wp:positionV relativeFrom="paragraph">
                  <wp:posOffset>6433185</wp:posOffset>
                </wp:positionV>
                <wp:extent cx="431800" cy="277495"/>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800" cy="277495"/>
                        </a:xfrm>
                        <a:prstGeom prst="rect">
                          <a:avLst/>
                        </a:prstGeom>
                        <a:solidFill>
                          <a:sysClr val="window" lastClr="FFFFFF"/>
                        </a:solidFill>
                        <a:ln w="12700" cap="flat" cmpd="sng" algn="ctr">
                          <a:noFill/>
                          <a:prstDash val="solid"/>
                          <a:miter lim="800000"/>
                        </a:ln>
                        <a:effectLst/>
                      </wps:spPr>
                      <wps:txbx>
                        <w:txbxContent>
                          <w:p w14:paraId="2E7A29AF" w14:textId="77777777" w:rsidR="00CF2869" w:rsidRDefault="00CF2869" w:rsidP="004B1202">
                            <w:pPr>
                              <w:jc w:val="center"/>
                            </w:pPr>
                            <w:r>
                              <w:t>42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8FA5F88" id="Rectangle 6" o:spid="_x0000_s1026" style="position:absolute;margin-left:309.85pt;margin-top:506.55pt;width:34pt;height:2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" fillcolor="window" stroked="f" strokeweight="1pt">
                <v:textbox>
                  <w:txbxContent>
                    <w:p w14:paraId="2E7A29AF" w14:textId="77777777" w:rsidR="00CF2869" w:rsidRDefault="00CF2869" w:rsidP="004B1202">
                      <w:pPr>
                        <w:jc w:val="center"/>
                      </w:pPr>
                      <w:r>
                        <w:t>42</w:t>
                      </w:r>
                    </w:p>
                  </w:txbxContent>
                </v:textbox>
              </v:rect>
            </w:pict>
          </mc:Fallback>
        </mc:AlternateContent>
      </w:r>
      <w:r w:rsidR="004B1202" w:rsidRPr="004B1202">
        <w:t xml:space="preserve">Private prescriptions for Schedule 2 and 3 controlled drugs must be on the appropriate standardised form, the only exception is veterinary prescriptions. The Prescriber identification number must be included on a standardised private prescription form (this is different to their professional registration number, it’s not their GMC, GDC, </w:t>
      </w:r>
      <w:proofErr w:type="spellStart"/>
      <w:r w:rsidR="004B1202" w:rsidRPr="004B1202">
        <w:t>GPhC</w:t>
      </w:r>
      <w:proofErr w:type="spellEnd"/>
      <w:r w:rsidR="004B1202" w:rsidRPr="004B1202">
        <w:t xml:space="preserve"> or NMC number). This number is issued by the relevant NHS agency</w:t>
      </w:r>
    </w:p>
    <w:p w14:paraId="76EE168E" w14:textId="77777777" w:rsidR="00CC2369" w:rsidRDefault="004B1202" w:rsidP="004B1202">
      <w:pPr>
        <w:tabs>
          <w:tab w:val="left" w:pos="2620"/>
        </w:tabs>
      </w:pPr>
      <w:r>
        <w:tab/>
      </w:r>
    </w:p>
    <w:p w14:paraId="26E4456A" w14:textId="77777777" w:rsidR="00CC2369" w:rsidRDefault="00CC2369" w:rsidP="004B1202">
      <w:pPr>
        <w:tabs>
          <w:tab w:val="left" w:pos="2620"/>
        </w:tabs>
      </w:pPr>
    </w:p>
    <w:p w14:paraId="1E47C8DB" w14:textId="77777777" w:rsidR="00CC2369" w:rsidRDefault="00CC2369" w:rsidP="004B1202">
      <w:pPr>
        <w:tabs>
          <w:tab w:val="left" w:pos="2620"/>
        </w:tabs>
      </w:pPr>
    </w:p>
    <w:p w14:paraId="42F128C3" w14:textId="77777777" w:rsidR="00CC2369" w:rsidRDefault="00CC2369" w:rsidP="004B1202">
      <w:pPr>
        <w:tabs>
          <w:tab w:val="left" w:pos="2620"/>
        </w:tabs>
      </w:pPr>
    </w:p>
    <w:p w14:paraId="38B5AB50" w14:textId="77777777" w:rsidR="00CC2369" w:rsidRDefault="00CC2369" w:rsidP="004B1202">
      <w:pPr>
        <w:tabs>
          <w:tab w:val="left" w:pos="2620"/>
        </w:tabs>
      </w:pPr>
    </w:p>
    <w:p w14:paraId="2C79FA2D" w14:textId="77777777" w:rsidR="00CC2369" w:rsidRDefault="00CC2369" w:rsidP="004B1202">
      <w:pPr>
        <w:tabs>
          <w:tab w:val="left" w:pos="2620"/>
        </w:tabs>
      </w:pPr>
    </w:p>
    <w:p w14:paraId="5E7F4937" w14:textId="77777777" w:rsidR="00CC2369" w:rsidRDefault="00CC2369" w:rsidP="004B1202">
      <w:pPr>
        <w:tabs>
          <w:tab w:val="left" w:pos="2620"/>
        </w:tabs>
      </w:pPr>
    </w:p>
    <w:p w14:paraId="5428BE03" w14:textId="77777777" w:rsidR="00CC2369" w:rsidRDefault="00CC2369" w:rsidP="004B1202">
      <w:pPr>
        <w:tabs>
          <w:tab w:val="left" w:pos="2620"/>
        </w:tabs>
      </w:pPr>
    </w:p>
    <w:p w14:paraId="3A0E5CAC" w14:textId="77777777" w:rsidR="00CC2369" w:rsidRDefault="00CC2369" w:rsidP="004B1202">
      <w:pPr>
        <w:tabs>
          <w:tab w:val="left" w:pos="2620"/>
        </w:tabs>
        <w:sectPr w:rsidR="00CC2369" w:rsidSect="004B1202">
          <w:pgSz w:w="16838" w:h="11906" w:orient="landscape"/>
          <w:pgMar w:top="992" w:right="851" w:bottom="992" w:left="1843" w:header="709" w:footer="446" w:gutter="0"/>
          <w:cols w:space="708"/>
          <w:docGrid w:linePitch="360"/>
        </w:sectPr>
      </w:pPr>
    </w:p>
    <w:p w14:paraId="5405F552" w14:textId="77777777" w:rsidR="00CC2369" w:rsidRPr="0070797B" w:rsidRDefault="00CC2369" w:rsidP="00644D19">
      <w:pPr>
        <w:pStyle w:val="Heading2"/>
        <w:jc w:val="left"/>
        <w:rPr>
          <w:rFonts w:eastAsia="Calibri"/>
          <w:color w:val="2F5496"/>
          <w:lang w:val="en-US"/>
        </w:rPr>
      </w:pPr>
      <w:bookmarkStart w:id="84" w:name="_Toc46843682"/>
      <w:bookmarkStart w:id="85" w:name="_Toc39152564"/>
      <w:r w:rsidRPr="0070797B">
        <w:rPr>
          <w:rFonts w:eastAsia="Calibri"/>
          <w:color w:val="2F5496"/>
          <w:lang w:val="en-US"/>
        </w:rPr>
        <w:lastRenderedPageBreak/>
        <w:t xml:space="preserve">16.10 </w:t>
      </w:r>
      <w:r w:rsidR="00644D19" w:rsidRPr="0070797B">
        <w:rPr>
          <w:rFonts w:eastAsia="Calibri"/>
          <w:color w:val="2F5496"/>
          <w:lang w:val="en-US"/>
        </w:rPr>
        <w:t>Appendix</w:t>
      </w:r>
      <w:r w:rsidRPr="0070797B">
        <w:rPr>
          <w:rFonts w:eastAsia="Calibri"/>
          <w:color w:val="2F5496"/>
          <w:lang w:val="en-US"/>
        </w:rPr>
        <w:t xml:space="preserve"> X: References</w:t>
      </w:r>
      <w:bookmarkEnd w:id="84"/>
      <w:r w:rsidRPr="0070797B">
        <w:rPr>
          <w:rFonts w:eastAsia="Calibri"/>
          <w:color w:val="2F5496"/>
          <w:lang w:val="en-US"/>
        </w:rPr>
        <w:t xml:space="preserve"> </w:t>
      </w:r>
      <w:bookmarkEnd w:id="85"/>
    </w:p>
    <w:p w14:paraId="03A12588" w14:textId="77777777" w:rsidR="00CC2369" w:rsidRPr="00795E2C" w:rsidRDefault="00CC2369" w:rsidP="004B1202">
      <w:pPr>
        <w:tabs>
          <w:tab w:val="left" w:pos="2620"/>
        </w:tabs>
        <w:rPr>
          <w:rFonts w:cs="Arial"/>
        </w:rPr>
      </w:pPr>
    </w:p>
    <w:p w14:paraId="5829849B" w14:textId="77777777" w:rsidR="00795E2C" w:rsidRPr="00795E2C" w:rsidRDefault="00795E2C" w:rsidP="00795E2C">
      <w:pPr>
        <w:pStyle w:val="ListParagraph"/>
        <w:numPr>
          <w:ilvl w:val="0"/>
          <w:numId w:val="37"/>
        </w:numPr>
        <w:autoSpaceDE w:val="0"/>
        <w:autoSpaceDN w:val="0"/>
        <w:adjustRightInd w:val="0"/>
        <w:spacing w:before="0" w:after="140" w:line="360" w:lineRule="auto"/>
        <w:jc w:val="left"/>
        <w:rPr>
          <w:rFonts w:cs="Arial"/>
          <w:bCs/>
        </w:rPr>
      </w:pPr>
      <w:r>
        <w:rPr>
          <w:rFonts w:cs="Arial"/>
          <w:bCs/>
        </w:rPr>
        <w:t xml:space="preserve">NHS England, </w:t>
      </w:r>
      <w:r w:rsidRPr="00795E2C">
        <w:rPr>
          <w:rFonts w:cs="Arial"/>
          <w:bCs/>
        </w:rPr>
        <w:t>Non-medical prescribing by allied health professionals</w:t>
      </w:r>
      <w:r w:rsidR="008350B2">
        <w:rPr>
          <w:rFonts w:cs="Arial"/>
          <w:bCs/>
        </w:rPr>
        <w:t xml:space="preserve">. </w:t>
      </w:r>
      <w:r>
        <w:rPr>
          <w:rFonts w:cs="Arial"/>
          <w:bCs/>
        </w:rPr>
        <w:t xml:space="preserve">[ONLINE] Available at: </w:t>
      </w:r>
      <w:hyperlink r:id="rId62" w:history="1">
        <w:r>
          <w:rPr>
            <w:rStyle w:val="Hyperlink"/>
          </w:rPr>
          <w:t>https://www.england.nhs.uk/ahp/med-project/</w:t>
        </w:r>
      </w:hyperlink>
      <w:r>
        <w:t xml:space="preserve"> [accessed 25</w:t>
      </w:r>
      <w:r w:rsidRPr="00795E2C">
        <w:rPr>
          <w:vertAlign w:val="superscript"/>
        </w:rPr>
        <w:t>th</w:t>
      </w:r>
      <w:r>
        <w:t xml:space="preserve"> June 2020]</w:t>
      </w:r>
    </w:p>
    <w:p w14:paraId="4BD122F9" w14:textId="77777777" w:rsidR="00795E2C" w:rsidRPr="00795E2C" w:rsidRDefault="00795E2C" w:rsidP="00795E2C">
      <w:pPr>
        <w:pStyle w:val="ListParagraph"/>
        <w:numPr>
          <w:ilvl w:val="0"/>
          <w:numId w:val="37"/>
        </w:numPr>
        <w:autoSpaceDE w:val="0"/>
        <w:autoSpaceDN w:val="0"/>
        <w:adjustRightInd w:val="0"/>
        <w:spacing w:before="0" w:after="140" w:line="360" w:lineRule="auto"/>
        <w:jc w:val="left"/>
        <w:rPr>
          <w:rFonts w:cs="Arial"/>
          <w:bCs/>
        </w:rPr>
      </w:pPr>
      <w:r>
        <w:rPr>
          <w:rFonts w:cs="Arial"/>
          <w:bCs/>
        </w:rPr>
        <w:t>National Institute for Health and Care Excellence (NICE)</w:t>
      </w:r>
      <w:r w:rsidR="008350B2">
        <w:rPr>
          <w:rFonts w:cs="Arial"/>
          <w:bCs/>
        </w:rPr>
        <w:t xml:space="preserve">, </w:t>
      </w:r>
      <w:r w:rsidR="00AA2667">
        <w:rPr>
          <w:rFonts w:cs="Arial"/>
          <w:bCs/>
        </w:rPr>
        <w:t xml:space="preserve">BNF - </w:t>
      </w:r>
      <w:r w:rsidR="008350B2">
        <w:rPr>
          <w:rFonts w:cs="Arial"/>
          <w:bCs/>
        </w:rPr>
        <w:t>Medicines</w:t>
      </w:r>
      <w:r>
        <w:rPr>
          <w:rFonts w:cs="Arial"/>
          <w:bCs/>
        </w:rPr>
        <w:t xml:space="preserve"> Gu</w:t>
      </w:r>
      <w:r w:rsidR="006B55E5">
        <w:rPr>
          <w:rFonts w:cs="Arial"/>
          <w:bCs/>
        </w:rPr>
        <w:t>idance: Non-Medical Prescribing, last updated 3 June 2020.</w:t>
      </w:r>
      <w:r w:rsidR="008350B2">
        <w:rPr>
          <w:rFonts w:cs="Arial"/>
          <w:bCs/>
        </w:rPr>
        <w:t xml:space="preserve"> [ONLINE] Available at:</w:t>
      </w:r>
      <w:r>
        <w:rPr>
          <w:rFonts w:cs="Arial"/>
          <w:bCs/>
        </w:rPr>
        <w:t xml:space="preserve"> </w:t>
      </w:r>
      <w:hyperlink r:id="rId63" w:history="1">
        <w:r>
          <w:rPr>
            <w:rStyle w:val="Hyperlink"/>
          </w:rPr>
          <w:t>https://bnf.nice.org.uk/guidance/non-medical-prescribing.html</w:t>
        </w:r>
      </w:hyperlink>
      <w:r w:rsidR="008350B2">
        <w:t xml:space="preserve"> [accessed 25</w:t>
      </w:r>
      <w:r w:rsidR="008350B2" w:rsidRPr="008350B2">
        <w:rPr>
          <w:vertAlign w:val="superscript"/>
        </w:rPr>
        <w:t>th</w:t>
      </w:r>
      <w:r w:rsidR="008350B2">
        <w:t xml:space="preserve"> June 2020]</w:t>
      </w:r>
    </w:p>
    <w:p w14:paraId="31377D2E" w14:textId="77777777" w:rsidR="00795E2C" w:rsidRPr="00AA2667" w:rsidRDefault="00B23686" w:rsidP="00795E2C">
      <w:pPr>
        <w:pStyle w:val="ListParagraph"/>
        <w:numPr>
          <w:ilvl w:val="0"/>
          <w:numId w:val="37"/>
        </w:numPr>
        <w:autoSpaceDE w:val="0"/>
        <w:autoSpaceDN w:val="0"/>
        <w:adjustRightInd w:val="0"/>
        <w:spacing w:before="0" w:after="140" w:line="360" w:lineRule="auto"/>
        <w:jc w:val="left"/>
        <w:rPr>
          <w:rFonts w:cs="Arial"/>
          <w:bCs/>
        </w:rPr>
      </w:pPr>
      <w:r>
        <w:rPr>
          <w:rFonts w:cs="Arial"/>
          <w:bCs/>
        </w:rPr>
        <w:t xml:space="preserve">GOV.UK – “non-medical prescribing” search. [ONLINE] Available at: </w:t>
      </w:r>
      <w:hyperlink r:id="rId64" w:history="1">
        <w:r>
          <w:rPr>
            <w:rStyle w:val="Hyperlink"/>
          </w:rPr>
          <w:t>https://www.gov.uk/search/all?keywords=non-medical+prescribing&amp;order=relevance</w:t>
        </w:r>
      </w:hyperlink>
      <w:r>
        <w:t xml:space="preserve"> [accessed 25</w:t>
      </w:r>
      <w:r w:rsidRPr="00B23686">
        <w:rPr>
          <w:vertAlign w:val="superscript"/>
        </w:rPr>
        <w:t>th</w:t>
      </w:r>
      <w:r>
        <w:t xml:space="preserve"> June 2020]</w:t>
      </w:r>
    </w:p>
    <w:p w14:paraId="38CA1591" w14:textId="77777777" w:rsidR="00AA2667" w:rsidRPr="00ED231F" w:rsidRDefault="00AA2667" w:rsidP="00AA2667">
      <w:pPr>
        <w:pStyle w:val="ListParagraph"/>
        <w:numPr>
          <w:ilvl w:val="0"/>
          <w:numId w:val="37"/>
        </w:numPr>
        <w:autoSpaceDE w:val="0"/>
        <w:autoSpaceDN w:val="0"/>
        <w:adjustRightInd w:val="0"/>
        <w:spacing w:before="0" w:after="140" w:line="360" w:lineRule="auto"/>
        <w:jc w:val="left"/>
        <w:rPr>
          <w:rFonts w:cs="Arial"/>
          <w:bCs/>
        </w:rPr>
      </w:pPr>
      <w:r>
        <w:rPr>
          <w:rFonts w:cs="Arial"/>
          <w:bCs/>
        </w:rPr>
        <w:t xml:space="preserve">National Institute for Health and Care Excellence (NICE), BNF - </w:t>
      </w:r>
      <w:r w:rsidRPr="00AA2667">
        <w:rPr>
          <w:rFonts w:cs="Arial"/>
          <w:bCs/>
        </w:rPr>
        <w:t>Nurse Prescribers’ Formulary (NPF)</w:t>
      </w:r>
      <w:r w:rsidR="006B55E5">
        <w:rPr>
          <w:rFonts w:cs="Arial"/>
          <w:bCs/>
        </w:rPr>
        <w:t>, last updated 3 June 2020</w:t>
      </w:r>
      <w:r>
        <w:rPr>
          <w:rFonts w:cs="Arial"/>
          <w:bCs/>
        </w:rPr>
        <w:t xml:space="preserve">. [ONLINE] Available at: </w:t>
      </w:r>
      <w:hyperlink r:id="rId65" w:history="1">
        <w:r>
          <w:rPr>
            <w:rStyle w:val="Hyperlink"/>
          </w:rPr>
          <w:t>https://bnf.nice.org.uk/nurse-prescribers-formulary/index.html</w:t>
        </w:r>
      </w:hyperlink>
      <w:r>
        <w:t xml:space="preserve"> [accessed 25</w:t>
      </w:r>
      <w:r w:rsidRPr="00AA2667">
        <w:rPr>
          <w:vertAlign w:val="superscript"/>
        </w:rPr>
        <w:t>th</w:t>
      </w:r>
      <w:r>
        <w:t xml:space="preserve"> June 2020]</w:t>
      </w:r>
    </w:p>
    <w:p w14:paraId="3BAA3CEF" w14:textId="77777777" w:rsidR="00ED231F" w:rsidRPr="00ED231F" w:rsidRDefault="00ED231F" w:rsidP="00ED231F">
      <w:pPr>
        <w:pStyle w:val="ListParagraph"/>
        <w:numPr>
          <w:ilvl w:val="0"/>
          <w:numId w:val="37"/>
        </w:numPr>
        <w:autoSpaceDE w:val="0"/>
        <w:autoSpaceDN w:val="0"/>
        <w:adjustRightInd w:val="0"/>
        <w:spacing w:before="0" w:after="140" w:line="360" w:lineRule="auto"/>
        <w:jc w:val="left"/>
        <w:rPr>
          <w:rFonts w:cs="Arial"/>
          <w:bCs/>
        </w:rPr>
      </w:pPr>
      <w:r>
        <w:rPr>
          <w:rFonts w:cs="Arial"/>
          <w:bCs/>
        </w:rPr>
        <w:t xml:space="preserve">NHS England, </w:t>
      </w:r>
      <w:r w:rsidRPr="00795E2C">
        <w:rPr>
          <w:rFonts w:cs="Arial"/>
          <w:bCs/>
        </w:rPr>
        <w:t>Non-medical prescribing by allied health professionals</w:t>
      </w:r>
      <w:r>
        <w:rPr>
          <w:rFonts w:cs="Arial"/>
          <w:bCs/>
        </w:rPr>
        <w:t xml:space="preserve">: </w:t>
      </w:r>
      <w:r w:rsidRPr="00ED231F">
        <w:rPr>
          <w:rFonts w:cs="Arial"/>
          <w:bCs/>
        </w:rPr>
        <w:t>Independent prescribing by Therapeutic Radiographers</w:t>
      </w:r>
      <w:r>
        <w:rPr>
          <w:rFonts w:cs="Arial"/>
          <w:bCs/>
        </w:rPr>
        <w:t xml:space="preserve">. [ONLINE] Available at: </w:t>
      </w:r>
      <w:hyperlink r:id="rId66" w:history="1">
        <w:r>
          <w:rPr>
            <w:rStyle w:val="Hyperlink"/>
          </w:rPr>
          <w:t>https://www.england.nhs.uk/ahp/med-project/radiographers/</w:t>
        </w:r>
      </w:hyperlink>
      <w:r>
        <w:t xml:space="preserve"> [accessed 25</w:t>
      </w:r>
      <w:r w:rsidRPr="00ED231F">
        <w:rPr>
          <w:vertAlign w:val="superscript"/>
        </w:rPr>
        <w:t>th</w:t>
      </w:r>
      <w:r>
        <w:t xml:space="preserve"> June 2020]</w:t>
      </w:r>
    </w:p>
    <w:p w14:paraId="0CF06DD3" w14:textId="77777777" w:rsidR="00D02A4F" w:rsidRPr="00D02A4F" w:rsidRDefault="00D02A4F" w:rsidP="00D02A4F">
      <w:pPr>
        <w:pStyle w:val="ListParagraph"/>
        <w:numPr>
          <w:ilvl w:val="0"/>
          <w:numId w:val="37"/>
        </w:numPr>
        <w:autoSpaceDE w:val="0"/>
        <w:autoSpaceDN w:val="0"/>
        <w:adjustRightInd w:val="0"/>
        <w:spacing w:before="0" w:after="140" w:line="360" w:lineRule="auto"/>
        <w:jc w:val="left"/>
        <w:rPr>
          <w:rFonts w:cs="Arial"/>
          <w:b/>
          <w:bCs/>
        </w:rPr>
      </w:pPr>
      <w:r>
        <w:rPr>
          <w:rFonts w:cs="Arial"/>
          <w:bCs/>
        </w:rPr>
        <w:t xml:space="preserve">NHS England, </w:t>
      </w:r>
      <w:r w:rsidRPr="00795E2C">
        <w:rPr>
          <w:rFonts w:cs="Arial"/>
          <w:bCs/>
        </w:rPr>
        <w:t>Non-medical prescribing by allied health professionals</w:t>
      </w:r>
      <w:r>
        <w:rPr>
          <w:rFonts w:cs="Arial"/>
          <w:bCs/>
        </w:rPr>
        <w:t xml:space="preserve">: </w:t>
      </w:r>
      <w:r w:rsidRPr="00D02A4F">
        <w:rPr>
          <w:rFonts w:cs="Arial"/>
          <w:bCs/>
        </w:rPr>
        <w:t>Paramedic prescribing</w:t>
      </w:r>
      <w:r>
        <w:rPr>
          <w:rFonts w:cs="Arial"/>
          <w:bCs/>
        </w:rPr>
        <w:t xml:space="preserve">. [ONLINE] Available at: </w:t>
      </w:r>
      <w:hyperlink r:id="rId67" w:history="1">
        <w:r>
          <w:rPr>
            <w:rStyle w:val="Hyperlink"/>
          </w:rPr>
          <w:t>https://www.england.nhs.uk/ahp/med-project/paramedics/</w:t>
        </w:r>
      </w:hyperlink>
      <w:r>
        <w:t xml:space="preserve"> [accessed 25</w:t>
      </w:r>
      <w:r w:rsidRPr="00D02A4F">
        <w:rPr>
          <w:vertAlign w:val="superscript"/>
        </w:rPr>
        <w:t>th</w:t>
      </w:r>
      <w:r>
        <w:t xml:space="preserve"> June 2020]</w:t>
      </w:r>
    </w:p>
    <w:p w14:paraId="7EB1F8B0" w14:textId="77777777" w:rsidR="00ED231F" w:rsidRPr="00130839" w:rsidRDefault="004F1D8E" w:rsidP="004D76A1">
      <w:pPr>
        <w:pStyle w:val="ListParagraph"/>
        <w:numPr>
          <w:ilvl w:val="0"/>
          <w:numId w:val="37"/>
        </w:numPr>
        <w:autoSpaceDE w:val="0"/>
        <w:autoSpaceDN w:val="0"/>
        <w:adjustRightInd w:val="0"/>
        <w:spacing w:before="0" w:after="140" w:line="360" w:lineRule="auto"/>
        <w:jc w:val="left"/>
        <w:rPr>
          <w:rFonts w:cs="Arial"/>
          <w:bCs/>
        </w:rPr>
      </w:pPr>
      <w:r w:rsidRPr="00F739DE">
        <w:rPr>
          <w:rFonts w:cs="Arial"/>
          <w:bCs/>
        </w:rPr>
        <w:t xml:space="preserve">NHS England, Non-medical prescribing by allied health professionals: </w:t>
      </w:r>
      <w:r w:rsidR="00F739DE" w:rsidRPr="00F739DE">
        <w:rPr>
          <w:rFonts w:cs="Arial"/>
          <w:bCs/>
        </w:rPr>
        <w:t>Supplementary prescribing by Dietitians.</w:t>
      </w:r>
      <w:r w:rsidR="00F739DE">
        <w:rPr>
          <w:rFonts w:cs="Arial"/>
          <w:bCs/>
        </w:rPr>
        <w:t xml:space="preserve"> </w:t>
      </w:r>
      <w:r w:rsidR="00F739DE" w:rsidRPr="00F739DE">
        <w:rPr>
          <w:rFonts w:cs="Arial"/>
          <w:bCs/>
        </w:rPr>
        <w:t xml:space="preserve"> </w:t>
      </w:r>
      <w:r w:rsidRPr="00F739DE">
        <w:rPr>
          <w:rFonts w:cs="Arial"/>
          <w:bCs/>
        </w:rPr>
        <w:t xml:space="preserve">[ONLINE] Available at: </w:t>
      </w:r>
      <w:hyperlink r:id="rId68" w:history="1">
        <w:r>
          <w:rPr>
            <w:rStyle w:val="Hyperlink"/>
          </w:rPr>
          <w:t>https://www.england.nhs.uk/ahp/med-project/dietitians/</w:t>
        </w:r>
      </w:hyperlink>
      <w:r>
        <w:t xml:space="preserve"> [accessed 25</w:t>
      </w:r>
      <w:r w:rsidRPr="00F739DE">
        <w:rPr>
          <w:vertAlign w:val="superscript"/>
        </w:rPr>
        <w:t>th</w:t>
      </w:r>
      <w:r>
        <w:t xml:space="preserve"> June 2020]</w:t>
      </w:r>
    </w:p>
    <w:p w14:paraId="0C9E6B41" w14:textId="77777777" w:rsidR="00130839" w:rsidRPr="00BC4DF0" w:rsidRDefault="00130839" w:rsidP="00130839">
      <w:pPr>
        <w:pStyle w:val="ListParagraph"/>
        <w:numPr>
          <w:ilvl w:val="0"/>
          <w:numId w:val="37"/>
        </w:numPr>
        <w:autoSpaceDE w:val="0"/>
        <w:autoSpaceDN w:val="0"/>
        <w:adjustRightInd w:val="0"/>
        <w:spacing w:before="0" w:after="140" w:line="360" w:lineRule="auto"/>
        <w:jc w:val="left"/>
        <w:rPr>
          <w:rFonts w:cs="Arial"/>
          <w:bCs/>
        </w:rPr>
      </w:pPr>
      <w:r w:rsidRPr="00F739DE">
        <w:rPr>
          <w:rFonts w:cs="Arial"/>
          <w:bCs/>
        </w:rPr>
        <w:t>NHS England, Non-medical prescribing by allied health professionals:</w:t>
      </w:r>
      <w:r>
        <w:rPr>
          <w:rFonts w:cs="Arial"/>
          <w:bCs/>
        </w:rPr>
        <w:t xml:space="preserve"> </w:t>
      </w:r>
      <w:r w:rsidRPr="00130839">
        <w:rPr>
          <w:rFonts w:cs="Arial"/>
          <w:bCs/>
        </w:rPr>
        <w:t>Use of exemptions within the Human Medicines Regulations 2012 by Orthoptists</w:t>
      </w:r>
      <w:r>
        <w:rPr>
          <w:rFonts w:cs="Arial"/>
          <w:bCs/>
        </w:rPr>
        <w:t xml:space="preserve">. [ONLINE] Available at: </w:t>
      </w:r>
      <w:hyperlink r:id="rId69" w:history="1">
        <w:r>
          <w:rPr>
            <w:rStyle w:val="Hyperlink"/>
          </w:rPr>
          <w:t>https://www.england.nhs.uk/ahp/med-project/orthoptists/</w:t>
        </w:r>
      </w:hyperlink>
      <w:r>
        <w:t xml:space="preserve"> [accessed 25</w:t>
      </w:r>
      <w:r w:rsidRPr="00130839">
        <w:rPr>
          <w:vertAlign w:val="superscript"/>
        </w:rPr>
        <w:t>th</w:t>
      </w:r>
      <w:r>
        <w:t xml:space="preserve"> June 2020]</w:t>
      </w:r>
    </w:p>
    <w:p w14:paraId="34856512" w14:textId="77777777" w:rsidR="00BC4DF0" w:rsidRPr="00415801" w:rsidRDefault="00BC4DF0" w:rsidP="00BC4DF0">
      <w:pPr>
        <w:pStyle w:val="ListParagraph"/>
        <w:numPr>
          <w:ilvl w:val="0"/>
          <w:numId w:val="37"/>
        </w:numPr>
        <w:autoSpaceDE w:val="0"/>
        <w:autoSpaceDN w:val="0"/>
        <w:adjustRightInd w:val="0"/>
        <w:spacing w:before="0" w:after="140" w:line="360" w:lineRule="auto"/>
        <w:jc w:val="left"/>
        <w:rPr>
          <w:rFonts w:cs="Arial"/>
          <w:bCs/>
        </w:rPr>
      </w:pPr>
      <w:r>
        <w:rPr>
          <w:rFonts w:cs="Arial"/>
          <w:bCs/>
        </w:rPr>
        <w:t xml:space="preserve">NHS England, General Practice: Case Studies - </w:t>
      </w:r>
      <w:r w:rsidRPr="00BC4DF0">
        <w:rPr>
          <w:rFonts w:cs="Arial"/>
          <w:bCs/>
        </w:rPr>
        <w:t>The physician associate will see you now – new role to assist patients in primary care</w:t>
      </w:r>
      <w:r>
        <w:rPr>
          <w:rFonts w:cs="Arial"/>
          <w:bCs/>
        </w:rPr>
        <w:t xml:space="preserve">. [ONLINE] Available at: </w:t>
      </w:r>
      <w:hyperlink r:id="rId70" w:history="1">
        <w:r>
          <w:rPr>
            <w:rStyle w:val="Hyperlink"/>
          </w:rPr>
          <w:t>https://www.england.nhs.uk/gp/case-studies/the-physician-associate-will-see-you-now-new-role-to-assist-patients-in-primary-care/</w:t>
        </w:r>
      </w:hyperlink>
      <w:r>
        <w:t xml:space="preserve"> [accessed 26</w:t>
      </w:r>
      <w:r w:rsidRPr="00BC4DF0">
        <w:rPr>
          <w:vertAlign w:val="superscript"/>
        </w:rPr>
        <w:t>th</w:t>
      </w:r>
      <w:r>
        <w:t xml:space="preserve"> June 2020]</w:t>
      </w:r>
    </w:p>
    <w:p w14:paraId="7C832FD0" w14:textId="77777777" w:rsidR="00415801" w:rsidRPr="00DC4EC0" w:rsidRDefault="00415801" w:rsidP="00415801">
      <w:pPr>
        <w:pStyle w:val="ListParagraph"/>
        <w:numPr>
          <w:ilvl w:val="0"/>
          <w:numId w:val="37"/>
        </w:numPr>
        <w:autoSpaceDE w:val="0"/>
        <w:autoSpaceDN w:val="0"/>
        <w:adjustRightInd w:val="0"/>
        <w:spacing w:before="0" w:after="140" w:line="360" w:lineRule="auto"/>
        <w:jc w:val="left"/>
        <w:rPr>
          <w:rFonts w:cs="Arial"/>
          <w:bCs/>
        </w:rPr>
      </w:pPr>
      <w:r>
        <w:rPr>
          <w:rFonts w:cs="Arial"/>
          <w:bCs/>
        </w:rPr>
        <w:t xml:space="preserve">Nursing and Midwifery Council (NMC), </w:t>
      </w:r>
      <w:r w:rsidRPr="00415801">
        <w:rPr>
          <w:rFonts w:cs="Arial"/>
          <w:bCs/>
        </w:rPr>
        <w:t>Pre-2019 Standards of proficiency for nurse and midwife prescribers</w:t>
      </w:r>
      <w:r w:rsidR="007969E9">
        <w:rPr>
          <w:rFonts w:cs="Arial"/>
          <w:bCs/>
        </w:rPr>
        <w:t>, 2006</w:t>
      </w:r>
      <w:r w:rsidR="003A76B0">
        <w:rPr>
          <w:rFonts w:cs="Arial"/>
          <w:bCs/>
        </w:rPr>
        <w:t xml:space="preserve">. [ONLINE] Available at: </w:t>
      </w:r>
      <w:hyperlink r:id="rId71" w:history="1">
        <w:r w:rsidR="003A76B0">
          <w:rPr>
            <w:rStyle w:val="Hyperlink"/>
          </w:rPr>
          <w:t>https://www.nmc.org.uk/standards/standards-for-post-registration/standards-for-prescribers/standards-of-proficiency-for-nurse-and-midwife-prescribers/</w:t>
        </w:r>
      </w:hyperlink>
      <w:r w:rsidR="003A76B0">
        <w:t xml:space="preserve"> [accessed 26</w:t>
      </w:r>
      <w:r w:rsidR="003A76B0" w:rsidRPr="003A76B0">
        <w:rPr>
          <w:vertAlign w:val="superscript"/>
        </w:rPr>
        <w:t>th</w:t>
      </w:r>
      <w:r w:rsidR="003A76B0">
        <w:t xml:space="preserve"> June 2020]</w:t>
      </w:r>
    </w:p>
    <w:p w14:paraId="4FCE3B51" w14:textId="77777777" w:rsidR="00DC4EC0" w:rsidRPr="00DC4EC0" w:rsidRDefault="00DC4EC0" w:rsidP="00DC4EC0">
      <w:pPr>
        <w:pStyle w:val="ListParagraph"/>
        <w:numPr>
          <w:ilvl w:val="0"/>
          <w:numId w:val="37"/>
        </w:numPr>
        <w:autoSpaceDE w:val="0"/>
        <w:autoSpaceDN w:val="0"/>
        <w:adjustRightInd w:val="0"/>
        <w:spacing w:before="0" w:after="140" w:line="360" w:lineRule="auto"/>
        <w:jc w:val="left"/>
        <w:rPr>
          <w:rFonts w:cs="Arial"/>
          <w:bCs/>
        </w:rPr>
      </w:pPr>
      <w:r>
        <w:rPr>
          <w:rFonts w:cs="Arial"/>
          <w:bCs/>
        </w:rPr>
        <w:t>General Pharmaceutical Council (</w:t>
      </w:r>
      <w:proofErr w:type="spellStart"/>
      <w:r>
        <w:rPr>
          <w:rFonts w:cs="Arial"/>
          <w:bCs/>
        </w:rPr>
        <w:t>GPhC</w:t>
      </w:r>
      <w:proofErr w:type="spellEnd"/>
      <w:r>
        <w:rPr>
          <w:rFonts w:cs="Arial"/>
          <w:bCs/>
        </w:rPr>
        <w:t xml:space="preserve">), </w:t>
      </w:r>
      <w:r w:rsidRPr="00DC4EC0">
        <w:rPr>
          <w:rFonts w:cs="Arial"/>
          <w:bCs/>
        </w:rPr>
        <w:t>Standards for pharmacy professionals</w:t>
      </w:r>
      <w:r w:rsidR="007969E9">
        <w:rPr>
          <w:rFonts w:cs="Arial"/>
          <w:bCs/>
        </w:rPr>
        <w:t>, May 2017</w:t>
      </w:r>
      <w:r>
        <w:rPr>
          <w:rFonts w:cs="Arial"/>
          <w:bCs/>
        </w:rPr>
        <w:t xml:space="preserve">. [ONLINE] Available at: </w:t>
      </w:r>
      <w:hyperlink r:id="rId72" w:history="1">
        <w:r>
          <w:rPr>
            <w:rStyle w:val="Hyperlink"/>
          </w:rPr>
          <w:t>https://www.pharmacyregulation.org/standards-for-pharmacy-professionals</w:t>
        </w:r>
      </w:hyperlink>
      <w:r>
        <w:t xml:space="preserve"> [accessed 26th June 2020]</w:t>
      </w:r>
    </w:p>
    <w:p w14:paraId="35C67CE6" w14:textId="77777777" w:rsidR="00DC4EC0" w:rsidRPr="00DC4EC0" w:rsidRDefault="00DC4EC0" w:rsidP="00DC4EC0">
      <w:pPr>
        <w:pStyle w:val="ListParagraph"/>
        <w:autoSpaceDE w:val="0"/>
        <w:autoSpaceDN w:val="0"/>
        <w:adjustRightInd w:val="0"/>
        <w:spacing w:before="0" w:after="140" w:line="360" w:lineRule="auto"/>
        <w:jc w:val="left"/>
        <w:rPr>
          <w:rFonts w:cs="Arial"/>
          <w:bCs/>
        </w:rPr>
      </w:pPr>
    </w:p>
    <w:p w14:paraId="1AB261AB" w14:textId="77777777" w:rsidR="000351AC" w:rsidRPr="000351AC" w:rsidRDefault="00457D1A" w:rsidP="000351AC">
      <w:pPr>
        <w:pStyle w:val="ListParagraph"/>
        <w:numPr>
          <w:ilvl w:val="0"/>
          <w:numId w:val="37"/>
        </w:numPr>
        <w:autoSpaceDE w:val="0"/>
        <w:autoSpaceDN w:val="0"/>
        <w:adjustRightInd w:val="0"/>
        <w:spacing w:before="0" w:after="140" w:line="360" w:lineRule="auto"/>
        <w:jc w:val="left"/>
        <w:rPr>
          <w:rFonts w:cs="Arial"/>
          <w:bCs/>
        </w:rPr>
      </w:pPr>
      <w:r>
        <w:rPr>
          <w:rFonts w:cs="Arial"/>
          <w:bCs/>
        </w:rPr>
        <w:lastRenderedPageBreak/>
        <w:t xml:space="preserve">General Medical Council (GMC). Ethical Guidance for Doctors: </w:t>
      </w:r>
      <w:r w:rsidRPr="00457D1A">
        <w:rPr>
          <w:rFonts w:cs="Arial"/>
          <w:bCs/>
        </w:rPr>
        <w:t>Good practice in prescribing and managing medicines and devices</w:t>
      </w:r>
      <w:r w:rsidR="000351AC">
        <w:rPr>
          <w:rFonts w:cs="Arial"/>
          <w:bCs/>
        </w:rPr>
        <w:t>, 25</w:t>
      </w:r>
      <w:r w:rsidR="000351AC" w:rsidRPr="000351AC">
        <w:rPr>
          <w:rFonts w:cs="Arial"/>
          <w:bCs/>
          <w:vertAlign w:val="superscript"/>
        </w:rPr>
        <w:t>th</w:t>
      </w:r>
      <w:r w:rsidR="000351AC">
        <w:rPr>
          <w:rFonts w:cs="Arial"/>
          <w:bCs/>
        </w:rPr>
        <w:t xml:space="preserve"> February 2013</w:t>
      </w:r>
      <w:r>
        <w:rPr>
          <w:rFonts w:cs="Arial"/>
          <w:bCs/>
        </w:rPr>
        <w:t xml:space="preserve">. [ONLINE] Available at: </w:t>
      </w:r>
      <w:hyperlink r:id="rId73" w:history="1">
        <w:r>
          <w:rPr>
            <w:rStyle w:val="Hyperlink"/>
          </w:rPr>
          <w:t>https://www.gmc-uk.org/ethical-guidance/ethical-guidance-for-doctors/prescribing-and-managing-medicines-and-devices</w:t>
        </w:r>
      </w:hyperlink>
      <w:r>
        <w:t xml:space="preserve"> [Accessed 26</w:t>
      </w:r>
      <w:r w:rsidRPr="00457D1A">
        <w:rPr>
          <w:vertAlign w:val="superscript"/>
        </w:rPr>
        <w:t>th</w:t>
      </w:r>
      <w:r>
        <w:t xml:space="preserve"> June 2020]</w:t>
      </w:r>
    </w:p>
    <w:p w14:paraId="485995FE" w14:textId="77777777" w:rsidR="000351AC" w:rsidRPr="00DF5983" w:rsidRDefault="000351AC" w:rsidP="00457D1A">
      <w:pPr>
        <w:pStyle w:val="ListParagraph"/>
        <w:numPr>
          <w:ilvl w:val="0"/>
          <w:numId w:val="37"/>
        </w:numPr>
        <w:autoSpaceDE w:val="0"/>
        <w:autoSpaceDN w:val="0"/>
        <w:adjustRightInd w:val="0"/>
        <w:spacing w:before="0" w:after="140" w:line="360" w:lineRule="auto"/>
        <w:jc w:val="left"/>
        <w:rPr>
          <w:rFonts w:cs="Arial"/>
          <w:bCs/>
        </w:rPr>
      </w:pPr>
      <w:r>
        <w:rPr>
          <w:rFonts w:cs="Arial"/>
          <w:bCs/>
        </w:rPr>
        <w:t xml:space="preserve">Royal Pharmaceutical Society (RPS). Frameworks: Prescribing Competency Framework July 2016. [ONLINE] Available at: </w:t>
      </w:r>
      <w:hyperlink r:id="rId74" w:history="1">
        <w:r>
          <w:rPr>
            <w:rStyle w:val="Hyperlink"/>
          </w:rPr>
          <w:t>https://www.rpharms.com/resources/frameworks/prescribers-competency-framework</w:t>
        </w:r>
      </w:hyperlink>
      <w:r>
        <w:t xml:space="preserve"> [accessed 26</w:t>
      </w:r>
      <w:r w:rsidRPr="000351AC">
        <w:rPr>
          <w:vertAlign w:val="superscript"/>
        </w:rPr>
        <w:t>th</w:t>
      </w:r>
      <w:r>
        <w:t xml:space="preserve"> June 2020]</w:t>
      </w:r>
    </w:p>
    <w:p w14:paraId="2FDC05F2" w14:textId="77777777" w:rsidR="00DF5983" w:rsidRPr="00EB3666" w:rsidRDefault="00DF5983" w:rsidP="00457D1A">
      <w:pPr>
        <w:pStyle w:val="ListParagraph"/>
        <w:numPr>
          <w:ilvl w:val="0"/>
          <w:numId w:val="37"/>
        </w:numPr>
        <w:autoSpaceDE w:val="0"/>
        <w:autoSpaceDN w:val="0"/>
        <w:adjustRightInd w:val="0"/>
        <w:spacing w:before="0" w:after="140" w:line="360" w:lineRule="auto"/>
        <w:jc w:val="left"/>
        <w:rPr>
          <w:rFonts w:cs="Arial"/>
          <w:bCs/>
        </w:rPr>
      </w:pPr>
      <w:r>
        <w:t xml:space="preserve">Royal Pharmaceutical Society (RPS). A Competency Framework for Designated Prescribing Practitioners, December 2019. [ONLINE] Available at: </w:t>
      </w:r>
      <w:hyperlink r:id="rId75" w:history="1">
        <w:r w:rsidR="00EB3666">
          <w:rPr>
            <w:rStyle w:val="Hyperlink"/>
          </w:rPr>
          <w:t>https://www.rpharms.com/resources/frameworks/designated-prescribing-practitioner-competency-framework</w:t>
        </w:r>
      </w:hyperlink>
      <w:r>
        <w:t xml:space="preserve"> [accessed June 26</w:t>
      </w:r>
      <w:r w:rsidRPr="00DF5983">
        <w:rPr>
          <w:vertAlign w:val="superscript"/>
        </w:rPr>
        <w:t>th</w:t>
      </w:r>
      <w:r>
        <w:t xml:space="preserve"> 2020]</w:t>
      </w:r>
    </w:p>
    <w:p w14:paraId="26DCD222" w14:textId="77777777" w:rsidR="00EB3666" w:rsidRPr="006E39E0" w:rsidRDefault="00EB3666" w:rsidP="00EB3666">
      <w:pPr>
        <w:pStyle w:val="ListParagraph"/>
        <w:numPr>
          <w:ilvl w:val="0"/>
          <w:numId w:val="37"/>
        </w:numPr>
        <w:autoSpaceDE w:val="0"/>
        <w:autoSpaceDN w:val="0"/>
        <w:adjustRightInd w:val="0"/>
        <w:spacing w:before="0" w:after="140" w:line="360" w:lineRule="auto"/>
        <w:jc w:val="left"/>
        <w:rPr>
          <w:rFonts w:cs="Arial"/>
          <w:bCs/>
        </w:rPr>
      </w:pPr>
      <w:r>
        <w:rPr>
          <w:rFonts w:cs="Arial"/>
          <w:bCs/>
        </w:rPr>
        <w:t xml:space="preserve">Health Education England (HEE). Medicines Optimisation: </w:t>
      </w:r>
      <w:r w:rsidRPr="00EB3666">
        <w:rPr>
          <w:rFonts w:cs="Arial"/>
          <w:bCs/>
        </w:rPr>
        <w:t>Training for non-medical prescribers</w:t>
      </w:r>
      <w:r>
        <w:rPr>
          <w:rFonts w:cs="Arial"/>
          <w:bCs/>
        </w:rPr>
        <w:t xml:space="preserve">. [ONLINE] Available at: </w:t>
      </w:r>
      <w:hyperlink r:id="rId76" w:history="1">
        <w:r>
          <w:rPr>
            <w:rStyle w:val="Hyperlink"/>
          </w:rPr>
          <w:t>https://www.hee.nhs.uk/our-work/medicines-optimisation/training-non-medical-prescribers</w:t>
        </w:r>
      </w:hyperlink>
      <w:r>
        <w:t xml:space="preserve"> [accessed 26</w:t>
      </w:r>
      <w:r w:rsidRPr="00EB3666">
        <w:rPr>
          <w:vertAlign w:val="superscript"/>
        </w:rPr>
        <w:t>th</w:t>
      </w:r>
      <w:r>
        <w:t xml:space="preserve"> June 2020]</w:t>
      </w:r>
    </w:p>
    <w:p w14:paraId="00762531" w14:textId="77777777" w:rsidR="006E39E0" w:rsidRPr="000524ED" w:rsidRDefault="0017408B" w:rsidP="0017408B">
      <w:pPr>
        <w:pStyle w:val="ListParagraph"/>
        <w:numPr>
          <w:ilvl w:val="0"/>
          <w:numId w:val="37"/>
        </w:numPr>
        <w:autoSpaceDE w:val="0"/>
        <w:autoSpaceDN w:val="0"/>
        <w:adjustRightInd w:val="0"/>
        <w:spacing w:before="0" w:after="140" w:line="360" w:lineRule="auto"/>
        <w:jc w:val="left"/>
        <w:rPr>
          <w:rFonts w:cs="Arial"/>
          <w:bCs/>
        </w:rPr>
      </w:pPr>
      <w:r>
        <w:t xml:space="preserve">Medicines and Healthcare products Regulatory Agency (MHRA). Drug Safety Update: </w:t>
      </w:r>
      <w:r w:rsidRPr="0017408B">
        <w:t>Antiepileptic drugs: new advice on switching between different manufacturers’ products for a particular drug</w:t>
      </w:r>
      <w:r>
        <w:t>, 11</w:t>
      </w:r>
      <w:r w:rsidRPr="0017408B">
        <w:rPr>
          <w:vertAlign w:val="superscript"/>
        </w:rPr>
        <w:t>th</w:t>
      </w:r>
      <w:r>
        <w:t xml:space="preserve"> December 2014. [ONLINE] Available at: </w:t>
      </w:r>
      <w:hyperlink r:id="rId77" w:history="1">
        <w:r>
          <w:rPr>
            <w:rStyle w:val="Hyperlink"/>
          </w:rPr>
          <w:t>https://www.gov.uk/drug-safety-update/antiepileptic-drugs-new-advice-on-switching-between-different-manufacturers-products-for-a-particular-drug</w:t>
        </w:r>
      </w:hyperlink>
      <w:r>
        <w:t xml:space="preserve"> [accessed 26</w:t>
      </w:r>
      <w:r w:rsidRPr="0017408B">
        <w:rPr>
          <w:vertAlign w:val="superscript"/>
        </w:rPr>
        <w:t>th</w:t>
      </w:r>
      <w:r>
        <w:t xml:space="preserve"> June 2020]</w:t>
      </w:r>
    </w:p>
    <w:p w14:paraId="4F7D7D2D" w14:textId="77777777" w:rsidR="000524ED" w:rsidRPr="00111C2C" w:rsidRDefault="000524ED" w:rsidP="00A066B5">
      <w:pPr>
        <w:pStyle w:val="ListParagraph"/>
        <w:numPr>
          <w:ilvl w:val="0"/>
          <w:numId w:val="37"/>
        </w:numPr>
        <w:autoSpaceDE w:val="0"/>
        <w:autoSpaceDN w:val="0"/>
        <w:adjustRightInd w:val="0"/>
        <w:spacing w:before="0" w:after="140" w:line="360" w:lineRule="auto"/>
        <w:jc w:val="left"/>
        <w:rPr>
          <w:rFonts w:cs="Arial"/>
          <w:bCs/>
        </w:rPr>
      </w:pPr>
      <w:r>
        <w:t>Specialist Pharmacy Service (SPS)</w:t>
      </w:r>
      <w:r w:rsidR="00A066B5">
        <w:t xml:space="preserve">. Q&amp;A: </w:t>
      </w:r>
      <w:r w:rsidR="00A066B5" w:rsidRPr="00A066B5">
        <w:t>Which medicines should be considered for brand-name prescribing in primary care?</w:t>
      </w:r>
      <w:r w:rsidR="00A066B5">
        <w:t xml:space="preserve"> 20</w:t>
      </w:r>
      <w:r w:rsidR="00A066B5" w:rsidRPr="00A066B5">
        <w:rPr>
          <w:vertAlign w:val="superscript"/>
        </w:rPr>
        <w:t>th</w:t>
      </w:r>
      <w:r w:rsidR="00A066B5">
        <w:t xml:space="preserve"> November 2018. [ONLINE] Available at: </w:t>
      </w:r>
      <w:hyperlink r:id="rId78" w:history="1">
        <w:r w:rsidR="00A066B5">
          <w:rPr>
            <w:rStyle w:val="Hyperlink"/>
          </w:rPr>
          <w:t>https://www.sps.nhs.uk/articles/which-medicines-should-be-considered-for-brand-name-prescribing-in-primary-care/</w:t>
        </w:r>
      </w:hyperlink>
      <w:r w:rsidR="00A066B5">
        <w:t xml:space="preserve"> [accessed 26</w:t>
      </w:r>
      <w:r w:rsidR="00A066B5" w:rsidRPr="00A066B5">
        <w:rPr>
          <w:vertAlign w:val="superscript"/>
        </w:rPr>
        <w:t>th</w:t>
      </w:r>
      <w:r w:rsidR="00A066B5">
        <w:t xml:space="preserve"> June 2020]</w:t>
      </w:r>
    </w:p>
    <w:p w14:paraId="1C37FFEB" w14:textId="77777777" w:rsidR="00111C2C" w:rsidRPr="00B70C10" w:rsidRDefault="00111C2C" w:rsidP="00111C2C">
      <w:pPr>
        <w:pStyle w:val="ListParagraph"/>
        <w:numPr>
          <w:ilvl w:val="0"/>
          <w:numId w:val="37"/>
        </w:numPr>
        <w:autoSpaceDE w:val="0"/>
        <w:autoSpaceDN w:val="0"/>
        <w:adjustRightInd w:val="0"/>
        <w:spacing w:before="0" w:after="140" w:line="360" w:lineRule="auto"/>
        <w:jc w:val="left"/>
        <w:rPr>
          <w:rFonts w:cs="Arial"/>
          <w:bCs/>
        </w:rPr>
      </w:pPr>
      <w:r>
        <w:t xml:space="preserve">Medicines and Healthcare products Regulatory Agency (MHRA). Guidance: </w:t>
      </w:r>
      <w:r w:rsidRPr="00111C2C">
        <w:t>Supply unlicensed medicinal products (specials)</w:t>
      </w:r>
      <w:r>
        <w:t>, 31</w:t>
      </w:r>
      <w:r w:rsidRPr="00111C2C">
        <w:rPr>
          <w:vertAlign w:val="superscript"/>
        </w:rPr>
        <w:t>st</w:t>
      </w:r>
      <w:r>
        <w:t xml:space="preserve"> October 2018. [ONLINE] Available at: </w:t>
      </w:r>
      <w:hyperlink r:id="rId79" w:history="1">
        <w:r>
          <w:rPr>
            <w:rStyle w:val="Hyperlink"/>
          </w:rPr>
          <w:t>https://www.gov.uk/government/publications/supply-unlicensed-medicinal-products-specials</w:t>
        </w:r>
      </w:hyperlink>
      <w:r>
        <w:t xml:space="preserve"> [accessed 26</w:t>
      </w:r>
      <w:r w:rsidRPr="00111C2C">
        <w:rPr>
          <w:vertAlign w:val="superscript"/>
        </w:rPr>
        <w:t>th</w:t>
      </w:r>
      <w:r>
        <w:t xml:space="preserve"> June 2020]</w:t>
      </w:r>
    </w:p>
    <w:p w14:paraId="2B618DC6" w14:textId="77777777" w:rsidR="00B70C10" w:rsidRPr="00DC5355" w:rsidRDefault="00B70C10" w:rsidP="00111C2C">
      <w:pPr>
        <w:pStyle w:val="ListParagraph"/>
        <w:numPr>
          <w:ilvl w:val="0"/>
          <w:numId w:val="37"/>
        </w:numPr>
        <w:autoSpaceDE w:val="0"/>
        <w:autoSpaceDN w:val="0"/>
        <w:adjustRightInd w:val="0"/>
        <w:spacing w:before="0" w:after="140" w:line="360" w:lineRule="auto"/>
        <w:jc w:val="left"/>
        <w:rPr>
          <w:rFonts w:cs="Arial"/>
          <w:bCs/>
        </w:rPr>
      </w:pPr>
      <w:r>
        <w:t>Specialist Pharmacy Service (SPS). Q&amp;A: What are the therapeutic options for patients unable to take solid oral dosage forms? 2</w:t>
      </w:r>
      <w:r w:rsidRPr="00B70C10">
        <w:rPr>
          <w:vertAlign w:val="superscript"/>
        </w:rPr>
        <w:t>nd</w:t>
      </w:r>
      <w:r>
        <w:t xml:space="preserve"> April 2020. [ONLINE] Available at: </w:t>
      </w:r>
      <w:hyperlink r:id="rId80" w:history="1">
        <w:r>
          <w:rPr>
            <w:rStyle w:val="Hyperlink"/>
          </w:rPr>
          <w:t>https://www.sps.nhs.uk/articles/what-are-the-therapeutic-options-for-patients-unable-to-take-solid-oral-dosage-forms/</w:t>
        </w:r>
      </w:hyperlink>
      <w:r>
        <w:t xml:space="preserve"> [accessed 26</w:t>
      </w:r>
      <w:r w:rsidRPr="00B70C10">
        <w:rPr>
          <w:vertAlign w:val="superscript"/>
        </w:rPr>
        <w:t>th</w:t>
      </w:r>
      <w:r>
        <w:t xml:space="preserve"> June 2020]</w:t>
      </w:r>
    </w:p>
    <w:p w14:paraId="5888AFA2" w14:textId="77777777" w:rsidR="00552BC3" w:rsidRDefault="00DC5355" w:rsidP="00111C2C">
      <w:pPr>
        <w:pStyle w:val="ListParagraph"/>
        <w:numPr>
          <w:ilvl w:val="0"/>
          <w:numId w:val="37"/>
        </w:numPr>
        <w:autoSpaceDE w:val="0"/>
        <w:autoSpaceDN w:val="0"/>
        <w:adjustRightInd w:val="0"/>
        <w:spacing w:before="0" w:after="140" w:line="360" w:lineRule="auto"/>
        <w:jc w:val="left"/>
      </w:pPr>
      <w:r>
        <w:t xml:space="preserve">Royal Pharmaceutical Society (RPS). Prescribing Specials: </w:t>
      </w:r>
      <w:proofErr w:type="spellStart"/>
      <w:r>
        <w:t>Gudiance</w:t>
      </w:r>
      <w:proofErr w:type="spellEnd"/>
      <w:r>
        <w:t xml:space="preserve"> for the Prescribers of Special, April 2016. [ONLINE] Available at: </w:t>
      </w:r>
      <w:hyperlink r:id="rId81" w:history="1">
        <w:r>
          <w:rPr>
            <w:rStyle w:val="Hyperlink"/>
          </w:rPr>
          <w:t>https://www.rpharms.com/Portals/0/RPS%20document%20library/Open%20access/Support/toolkit/professional-standards---prescribing-specials.pdf</w:t>
        </w:r>
      </w:hyperlink>
      <w:r>
        <w:t xml:space="preserve"> [accessed 26</w:t>
      </w:r>
      <w:r w:rsidRPr="00DC5355">
        <w:rPr>
          <w:vertAlign w:val="superscript"/>
        </w:rPr>
        <w:t>th</w:t>
      </w:r>
      <w:r>
        <w:t xml:space="preserve"> June 2020]</w:t>
      </w:r>
    </w:p>
    <w:p w14:paraId="0EC6B75E" w14:textId="77777777" w:rsidR="00DC5355" w:rsidRPr="00552BC3" w:rsidRDefault="00552BC3" w:rsidP="00552BC3">
      <w:pPr>
        <w:rPr>
          <w:rFonts w:cs="Arial"/>
        </w:rPr>
      </w:pPr>
      <w:r>
        <w:br w:type="page"/>
      </w:r>
    </w:p>
    <w:p w14:paraId="787538A2" w14:textId="77777777" w:rsidR="009312B0" w:rsidRPr="00524E0A" w:rsidRDefault="00552BC3" w:rsidP="00B6122A">
      <w:pPr>
        <w:pStyle w:val="ListParagraph"/>
        <w:numPr>
          <w:ilvl w:val="0"/>
          <w:numId w:val="37"/>
        </w:numPr>
        <w:autoSpaceDE w:val="0"/>
        <w:autoSpaceDN w:val="0"/>
        <w:adjustRightInd w:val="0"/>
        <w:spacing w:before="0" w:after="140" w:line="360" w:lineRule="auto"/>
        <w:jc w:val="left"/>
        <w:rPr>
          <w:rFonts w:cs="Arial"/>
          <w:bCs/>
        </w:rPr>
      </w:pPr>
      <w:r>
        <w:lastRenderedPageBreak/>
        <w:t xml:space="preserve">General Medical Council (GMC). </w:t>
      </w:r>
      <w:r w:rsidRPr="00552BC3">
        <w:t>Good practice in prescribing and managing medicines and devices</w:t>
      </w:r>
      <w:r>
        <w:t xml:space="preserve">: </w:t>
      </w:r>
      <w:r w:rsidRPr="00552BC3">
        <w:t>Prescribing unlicensed medicines</w:t>
      </w:r>
      <w:r>
        <w:t>, 25</w:t>
      </w:r>
      <w:r w:rsidRPr="00524E0A">
        <w:rPr>
          <w:vertAlign w:val="superscript"/>
        </w:rPr>
        <w:t xml:space="preserve">th </w:t>
      </w:r>
      <w:r w:rsidRPr="00524E0A">
        <w:rPr>
          <w:rFonts w:cs="Arial"/>
          <w:bCs/>
        </w:rPr>
        <w:t xml:space="preserve">February 2013. [ONLINE] Available at: </w:t>
      </w:r>
      <w:hyperlink r:id="rId82" w:history="1">
        <w:r>
          <w:rPr>
            <w:rStyle w:val="Hyperlink"/>
          </w:rPr>
          <w:t>https://www.gmc-uk.org/ethical-guidance/ethical-guidance-for-doctors/prescribing-and-managing-medicines-and-devices/prescribing-unlicensed-medicines</w:t>
        </w:r>
      </w:hyperlink>
      <w:r>
        <w:t xml:space="preserve"> [accessed 26</w:t>
      </w:r>
      <w:r w:rsidRPr="00524E0A">
        <w:rPr>
          <w:vertAlign w:val="superscript"/>
        </w:rPr>
        <w:t>th</w:t>
      </w:r>
      <w:r>
        <w:t xml:space="preserve"> June 2020]</w:t>
      </w:r>
    </w:p>
    <w:p w14:paraId="440A947D" w14:textId="77777777" w:rsidR="009312B0" w:rsidRPr="00385BEE" w:rsidRDefault="00524E0A" w:rsidP="00552BC3">
      <w:pPr>
        <w:pStyle w:val="ListParagraph"/>
        <w:numPr>
          <w:ilvl w:val="0"/>
          <w:numId w:val="37"/>
        </w:numPr>
        <w:autoSpaceDE w:val="0"/>
        <w:autoSpaceDN w:val="0"/>
        <w:adjustRightInd w:val="0"/>
        <w:spacing w:before="0" w:after="140" w:line="360" w:lineRule="auto"/>
        <w:jc w:val="left"/>
        <w:rPr>
          <w:rFonts w:cs="Arial"/>
          <w:bCs/>
        </w:rPr>
      </w:pPr>
      <w:r>
        <w:rPr>
          <w:rFonts w:cs="Arial"/>
          <w:bCs/>
        </w:rPr>
        <w:t>National Institute for Health and Care Excellence (NICE)</w:t>
      </w:r>
      <w:r w:rsidR="00470879">
        <w:rPr>
          <w:rFonts w:cs="Arial"/>
          <w:bCs/>
        </w:rPr>
        <w:t xml:space="preserve">. British National Formulary, last updated 3 June 2020. [ONLINE] Available at: </w:t>
      </w:r>
      <w:hyperlink r:id="rId83" w:history="1">
        <w:r w:rsidR="00470879">
          <w:rPr>
            <w:rStyle w:val="Hyperlink"/>
          </w:rPr>
          <w:t>https://bnf.nice.org.uk/</w:t>
        </w:r>
      </w:hyperlink>
      <w:r w:rsidR="00470879">
        <w:t xml:space="preserve"> [accessed 26</w:t>
      </w:r>
      <w:r w:rsidR="00470879" w:rsidRPr="00470879">
        <w:rPr>
          <w:vertAlign w:val="superscript"/>
        </w:rPr>
        <w:t>th</w:t>
      </w:r>
      <w:r w:rsidR="00470879">
        <w:t xml:space="preserve"> June 2020]</w:t>
      </w:r>
    </w:p>
    <w:p w14:paraId="64EF6024" w14:textId="77777777" w:rsidR="00385BEE" w:rsidRPr="008C795A" w:rsidRDefault="00385BEE" w:rsidP="00552BC3">
      <w:pPr>
        <w:pStyle w:val="ListParagraph"/>
        <w:numPr>
          <w:ilvl w:val="0"/>
          <w:numId w:val="37"/>
        </w:numPr>
        <w:autoSpaceDE w:val="0"/>
        <w:autoSpaceDN w:val="0"/>
        <w:adjustRightInd w:val="0"/>
        <w:spacing w:before="0" w:after="140" w:line="360" w:lineRule="auto"/>
        <w:jc w:val="left"/>
        <w:rPr>
          <w:rFonts w:cs="Arial"/>
          <w:bCs/>
        </w:rPr>
      </w:pPr>
      <w:r>
        <w:t xml:space="preserve">Medicines and Healthcare products Regulatory Agency (MHRA). </w:t>
      </w:r>
      <w:proofErr w:type="spellStart"/>
      <w:r>
        <w:t>YellowCard</w:t>
      </w:r>
      <w:proofErr w:type="spellEnd"/>
      <w:r>
        <w:t xml:space="preserve"> Scheme. [ONLINE] Available at: </w:t>
      </w:r>
      <w:hyperlink r:id="rId84" w:history="1">
        <w:r>
          <w:rPr>
            <w:rStyle w:val="Hyperlink"/>
          </w:rPr>
          <w:t>https://yellowcard.mhra.gov.uk/</w:t>
        </w:r>
      </w:hyperlink>
      <w:r>
        <w:t xml:space="preserve"> [accessed 26</w:t>
      </w:r>
      <w:r w:rsidRPr="00385BEE">
        <w:rPr>
          <w:vertAlign w:val="superscript"/>
        </w:rPr>
        <w:t>th</w:t>
      </w:r>
      <w:r>
        <w:t xml:space="preserve"> June 2020]</w:t>
      </w:r>
    </w:p>
    <w:p w14:paraId="4E483206" w14:textId="77777777" w:rsidR="008C795A" w:rsidRPr="008C795A" w:rsidRDefault="008C795A" w:rsidP="008C795A">
      <w:pPr>
        <w:pStyle w:val="ListParagraph"/>
        <w:numPr>
          <w:ilvl w:val="0"/>
          <w:numId w:val="37"/>
        </w:numPr>
        <w:autoSpaceDE w:val="0"/>
        <w:autoSpaceDN w:val="0"/>
        <w:adjustRightInd w:val="0"/>
        <w:spacing w:before="0" w:after="140" w:line="360" w:lineRule="auto"/>
        <w:jc w:val="left"/>
        <w:rPr>
          <w:rFonts w:cs="Arial"/>
          <w:bCs/>
        </w:rPr>
      </w:pPr>
      <w:r>
        <w:t xml:space="preserve">NHS Counter Fraud Authority. </w:t>
      </w:r>
      <w:r w:rsidRPr="008C795A">
        <w:t>Management and control of prescription forms: A guide for prescribers and health organisations</w:t>
      </w:r>
      <w:r>
        <w:t xml:space="preserve">, March 2018. [ONLINE] Available at: </w:t>
      </w:r>
      <w:hyperlink r:id="rId85" w:anchor="controlPrescriptionForms" w:history="1">
        <w:r>
          <w:rPr>
            <w:rStyle w:val="Hyperlink"/>
          </w:rPr>
          <w:t>https://cfa.nhs.uk/fraud-prevention/fraud-guidance#controlPrescriptionForms</w:t>
        </w:r>
      </w:hyperlink>
      <w:r>
        <w:t xml:space="preserve"> [accessed 26</w:t>
      </w:r>
      <w:r w:rsidRPr="008C795A">
        <w:rPr>
          <w:vertAlign w:val="superscript"/>
        </w:rPr>
        <w:t>th</w:t>
      </w:r>
      <w:r>
        <w:t xml:space="preserve"> June 2020]</w:t>
      </w:r>
    </w:p>
    <w:p w14:paraId="42B3EE11" w14:textId="77777777" w:rsidR="008C795A" w:rsidRPr="002A22AC" w:rsidRDefault="008C795A" w:rsidP="008C795A">
      <w:pPr>
        <w:pStyle w:val="ListParagraph"/>
        <w:numPr>
          <w:ilvl w:val="0"/>
          <w:numId w:val="37"/>
        </w:numPr>
        <w:autoSpaceDE w:val="0"/>
        <w:autoSpaceDN w:val="0"/>
        <w:adjustRightInd w:val="0"/>
        <w:spacing w:before="0" w:after="140" w:line="360" w:lineRule="auto"/>
        <w:jc w:val="left"/>
        <w:rPr>
          <w:rFonts w:cs="Arial"/>
          <w:bCs/>
        </w:rPr>
      </w:pPr>
      <w:r>
        <w:t xml:space="preserve">NHS England. </w:t>
      </w:r>
      <w:r w:rsidRPr="008C795A">
        <w:t>Managing conflicts of interest: revised statutory guidance for CCGs 2017</w:t>
      </w:r>
      <w:r>
        <w:t>, 16</w:t>
      </w:r>
      <w:r w:rsidRPr="008C795A">
        <w:rPr>
          <w:vertAlign w:val="superscript"/>
        </w:rPr>
        <w:t>th</w:t>
      </w:r>
      <w:r>
        <w:t xml:space="preserve"> June 2017 (updated 15</w:t>
      </w:r>
      <w:r w:rsidRPr="008C795A">
        <w:rPr>
          <w:vertAlign w:val="superscript"/>
        </w:rPr>
        <w:t>th</w:t>
      </w:r>
      <w:r>
        <w:t xml:space="preserve"> August 2018). [ONLINE] Available at: </w:t>
      </w:r>
      <w:hyperlink r:id="rId86" w:history="1">
        <w:r>
          <w:rPr>
            <w:rStyle w:val="Hyperlink"/>
          </w:rPr>
          <w:t>https://www.england.nhs.uk/publication/managing-conflicts-of-interest-revised-statutory-guidance-for-ccgs-2017/</w:t>
        </w:r>
      </w:hyperlink>
      <w:r>
        <w:t xml:space="preserve"> [accessed 26</w:t>
      </w:r>
      <w:r w:rsidRPr="008C795A">
        <w:rPr>
          <w:vertAlign w:val="superscript"/>
        </w:rPr>
        <w:t>th</w:t>
      </w:r>
      <w:r>
        <w:t xml:space="preserve"> June 2020]</w:t>
      </w:r>
    </w:p>
    <w:p w14:paraId="0BC0CC82" w14:textId="77777777" w:rsidR="00F662C4" w:rsidRDefault="002A22AC" w:rsidP="00B6122A">
      <w:pPr>
        <w:pStyle w:val="ListParagraph"/>
        <w:numPr>
          <w:ilvl w:val="0"/>
          <w:numId w:val="37"/>
        </w:numPr>
        <w:autoSpaceDE w:val="0"/>
        <w:autoSpaceDN w:val="0"/>
        <w:adjustRightInd w:val="0"/>
        <w:spacing w:before="0" w:after="140" w:line="360" w:lineRule="auto"/>
        <w:jc w:val="left"/>
      </w:pPr>
      <w:r>
        <w:t xml:space="preserve">Royal Pharmaceutical Society (RPS). </w:t>
      </w:r>
      <w:r w:rsidR="0050245C">
        <w:t xml:space="preserve">Medicines, Ethics and Practice (MEP), Edition 43, July 2019. [ONLINE] Available at: </w:t>
      </w:r>
      <w:hyperlink r:id="rId87" w:history="1">
        <w:r w:rsidR="0050245C">
          <w:rPr>
            <w:rStyle w:val="Hyperlink"/>
          </w:rPr>
          <w:t>https://www.rpharms.com/publications/the-mep</w:t>
        </w:r>
      </w:hyperlink>
      <w:r w:rsidR="0050245C">
        <w:t xml:space="preserve"> [accessed 26</w:t>
      </w:r>
      <w:r w:rsidR="0050245C" w:rsidRPr="00045456">
        <w:rPr>
          <w:vertAlign w:val="superscript"/>
        </w:rPr>
        <w:t>th</w:t>
      </w:r>
      <w:r w:rsidR="0050245C">
        <w:t xml:space="preserve"> June 2020]</w:t>
      </w:r>
    </w:p>
    <w:p w14:paraId="7E7251E4" w14:textId="77777777" w:rsidR="00F662C4" w:rsidRDefault="00F662C4" w:rsidP="00045456">
      <w:pPr>
        <w:pStyle w:val="Heading2"/>
        <w:jc w:val="both"/>
      </w:pPr>
    </w:p>
    <w:p w14:paraId="02BCA0A7" w14:textId="77777777" w:rsidR="002A22AC" w:rsidRDefault="002A22AC" w:rsidP="007D7485">
      <w:pPr>
        <w:pStyle w:val="Heading2"/>
        <w:numPr>
          <w:ilvl w:val="1"/>
          <w:numId w:val="40"/>
        </w:numPr>
        <w:jc w:val="both"/>
        <w:rPr>
          <w:rFonts w:eastAsia="Calibri"/>
          <w:color w:val="2F5496"/>
          <w:lang w:val="en-US"/>
        </w:rPr>
      </w:pPr>
      <w:bookmarkStart w:id="86" w:name="_Toc46843683"/>
      <w:r w:rsidRPr="0070797B">
        <w:rPr>
          <w:rFonts w:eastAsia="Calibri"/>
          <w:color w:val="2F5496"/>
          <w:lang w:val="en-US"/>
        </w:rPr>
        <w:t>Appendix X</w:t>
      </w:r>
      <w:r>
        <w:rPr>
          <w:rFonts w:eastAsia="Calibri"/>
          <w:color w:val="2F5496"/>
          <w:lang w:val="en-US"/>
        </w:rPr>
        <w:t>I</w:t>
      </w:r>
      <w:r w:rsidRPr="0070797B">
        <w:rPr>
          <w:rFonts w:eastAsia="Calibri"/>
          <w:color w:val="2F5496"/>
          <w:lang w:val="en-US"/>
        </w:rPr>
        <w:t xml:space="preserve">: </w:t>
      </w:r>
      <w:r>
        <w:rPr>
          <w:rFonts w:eastAsia="Calibri"/>
          <w:color w:val="2F5496"/>
          <w:lang w:val="en-US"/>
        </w:rPr>
        <w:t>Bibliography</w:t>
      </w:r>
      <w:bookmarkEnd w:id="86"/>
      <w:r>
        <w:rPr>
          <w:rFonts w:eastAsia="Calibri"/>
          <w:color w:val="2F5496"/>
          <w:lang w:val="en-US"/>
        </w:rPr>
        <w:t xml:space="preserve"> </w:t>
      </w:r>
    </w:p>
    <w:p w14:paraId="196BCDDC" w14:textId="77777777" w:rsidR="007D7485" w:rsidRPr="007D7485" w:rsidRDefault="007D7485" w:rsidP="007D7485">
      <w:pPr>
        <w:rPr>
          <w:lang w:val="en-US"/>
        </w:rPr>
      </w:pPr>
    </w:p>
    <w:p w14:paraId="57C52453" w14:textId="77777777" w:rsidR="007D7485" w:rsidRPr="00B6122A" w:rsidRDefault="007D7485" w:rsidP="007D7485">
      <w:pPr>
        <w:pStyle w:val="ListParagraph"/>
        <w:numPr>
          <w:ilvl w:val="0"/>
          <w:numId w:val="39"/>
        </w:numPr>
        <w:autoSpaceDE w:val="0"/>
        <w:autoSpaceDN w:val="0"/>
        <w:adjustRightInd w:val="0"/>
        <w:spacing w:before="0" w:after="140" w:line="360" w:lineRule="auto"/>
        <w:jc w:val="left"/>
        <w:rPr>
          <w:rFonts w:cs="Arial"/>
          <w:lang w:val="en-US"/>
        </w:rPr>
      </w:pPr>
      <w:r>
        <w:rPr>
          <w:rFonts w:cs="Arial"/>
          <w:lang w:val="en-US"/>
        </w:rPr>
        <w:t>Department of Health (2006</w:t>
      </w:r>
      <w:proofErr w:type="gramStart"/>
      <w:r>
        <w:rPr>
          <w:rFonts w:cs="Arial"/>
          <w:lang w:val="en-US"/>
        </w:rPr>
        <w:t>).</w:t>
      </w:r>
      <w:r w:rsidR="00B6122A">
        <w:rPr>
          <w:rFonts w:cs="Arial"/>
          <w:lang w:val="en-US"/>
        </w:rPr>
        <w:t>Archived</w:t>
      </w:r>
      <w:proofErr w:type="gramEnd"/>
      <w:r w:rsidR="00B6122A">
        <w:rPr>
          <w:rFonts w:cs="Arial"/>
          <w:lang w:val="en-US"/>
        </w:rPr>
        <w:t xml:space="preserve"> Guidance:</w:t>
      </w:r>
      <w:r>
        <w:rPr>
          <w:rFonts w:cs="Arial"/>
          <w:lang w:val="en-US"/>
        </w:rPr>
        <w:t xml:space="preserve"> I</w:t>
      </w:r>
      <w:r w:rsidRPr="007D7485">
        <w:rPr>
          <w:rFonts w:cs="Arial"/>
          <w:lang w:val="en-US"/>
        </w:rPr>
        <w:t>mproving patients' access to medicines: A guide to implementing nurse and pharmacist independent prescribing within the NHS in England</w:t>
      </w:r>
      <w:r w:rsidR="00B6122A">
        <w:rPr>
          <w:rFonts w:cs="Arial"/>
          <w:lang w:val="en-US"/>
        </w:rPr>
        <w:t xml:space="preserve">. [ONLINE] Available at: </w:t>
      </w:r>
      <w:hyperlink r:id="rId88" w:history="1">
        <w:r w:rsidR="00B6122A">
          <w:rPr>
            <w:rStyle w:val="Hyperlink"/>
          </w:rPr>
          <w:t>https://webarchive.nationalarchives.gov.uk/20081108011446/http://www.dh.gov.uk/en/Publicationsandstatistics/Publications/PublicationsPolicyAndGuidance/DH_4133743</w:t>
        </w:r>
      </w:hyperlink>
    </w:p>
    <w:p w14:paraId="410F65DC" w14:textId="77777777" w:rsidR="00B6122A" w:rsidRDefault="00B6122A" w:rsidP="00B6122A">
      <w:pPr>
        <w:pStyle w:val="ListParagraph"/>
        <w:numPr>
          <w:ilvl w:val="0"/>
          <w:numId w:val="39"/>
        </w:numPr>
        <w:autoSpaceDE w:val="0"/>
        <w:autoSpaceDN w:val="0"/>
        <w:adjustRightInd w:val="0"/>
        <w:spacing w:before="0" w:after="140" w:line="360" w:lineRule="auto"/>
        <w:jc w:val="left"/>
        <w:rPr>
          <w:rFonts w:cs="Arial"/>
          <w:lang w:val="en-US"/>
        </w:rPr>
      </w:pPr>
      <w:r>
        <w:rPr>
          <w:rFonts w:cs="Arial"/>
          <w:lang w:val="en-US"/>
        </w:rPr>
        <w:t xml:space="preserve">Department of Health (2005). Archived Guidance. Medicines Matters: </w:t>
      </w:r>
      <w:r w:rsidRPr="00795E2C">
        <w:rPr>
          <w:rFonts w:cs="Arial"/>
          <w:lang w:val="en-US"/>
        </w:rPr>
        <w:t>A Guide to current mechanisms for prescribing, supply and administration of medicines</w:t>
      </w:r>
      <w:r>
        <w:rPr>
          <w:rFonts w:cs="Arial"/>
          <w:lang w:val="en-US"/>
        </w:rPr>
        <w:t xml:space="preserve">. [ONLINE] Available at: </w:t>
      </w:r>
      <w:hyperlink r:id="rId89" w:history="1">
        <w:r>
          <w:rPr>
            <w:rStyle w:val="Hyperlink"/>
          </w:rPr>
          <w:t>https://webarchive.nationalarchives.gov.uk/20080729210628/http://www.dh.gov.uk/en/Publicationsandstatistics/Publications/PublicationsPolicyAndGuidance/DH_4105222</w:t>
        </w:r>
      </w:hyperlink>
    </w:p>
    <w:p w14:paraId="06C37D5F" w14:textId="77777777" w:rsidR="00C955B4" w:rsidRDefault="00B6122A" w:rsidP="00B6122A">
      <w:pPr>
        <w:pStyle w:val="ListParagraph"/>
        <w:numPr>
          <w:ilvl w:val="0"/>
          <w:numId w:val="39"/>
        </w:numPr>
        <w:autoSpaceDE w:val="0"/>
        <w:autoSpaceDN w:val="0"/>
        <w:adjustRightInd w:val="0"/>
        <w:spacing w:before="0" w:after="140" w:line="360" w:lineRule="auto"/>
        <w:jc w:val="left"/>
        <w:rPr>
          <w:rFonts w:cs="Arial"/>
          <w:lang w:val="en-US"/>
        </w:rPr>
      </w:pPr>
      <w:r>
        <w:rPr>
          <w:rFonts w:cs="Arial"/>
          <w:lang w:val="en-US"/>
        </w:rPr>
        <w:t xml:space="preserve">Department of Health (2005). Archived Guidance: </w:t>
      </w:r>
      <w:r w:rsidRPr="00B6122A">
        <w:rPr>
          <w:rFonts w:cs="Arial"/>
          <w:lang w:val="en-US"/>
        </w:rPr>
        <w:t xml:space="preserve">Supplementary Prescribing by Nurses, Pharmacists, Chiropodists/Podiatrists, Physiotherapists and Radiographers within the NHS in </w:t>
      </w:r>
    </w:p>
    <w:p w14:paraId="14AD4DD3" w14:textId="77777777" w:rsidR="00B6122A" w:rsidRPr="007D7485" w:rsidRDefault="00C955B4" w:rsidP="00C955B4">
      <w:pPr>
        <w:pStyle w:val="ListParagraph"/>
        <w:autoSpaceDE w:val="0"/>
        <w:autoSpaceDN w:val="0"/>
        <w:adjustRightInd w:val="0"/>
        <w:spacing w:before="0" w:after="140" w:line="360" w:lineRule="auto"/>
        <w:ind w:left="360"/>
        <w:jc w:val="left"/>
        <w:rPr>
          <w:rFonts w:cs="Arial"/>
          <w:lang w:val="en-US"/>
        </w:rPr>
      </w:pPr>
      <w:r>
        <w:rPr>
          <w:rFonts w:cs="Arial"/>
          <w:lang w:val="en-US"/>
        </w:rPr>
        <w:br w:type="page"/>
      </w:r>
      <w:r w:rsidR="00B6122A" w:rsidRPr="00B6122A">
        <w:rPr>
          <w:rFonts w:cs="Arial"/>
          <w:lang w:val="en-US"/>
        </w:rPr>
        <w:lastRenderedPageBreak/>
        <w:t>England: a guide for implementation - updated May 2005</w:t>
      </w:r>
      <w:r w:rsidR="00B6122A">
        <w:rPr>
          <w:rFonts w:cs="Arial"/>
          <w:lang w:val="en-US"/>
        </w:rPr>
        <w:t xml:space="preserve">. [ONLINE] Available at: </w:t>
      </w:r>
      <w:hyperlink r:id="rId90" w:history="1">
        <w:r w:rsidR="00B6122A">
          <w:rPr>
            <w:rStyle w:val="Hyperlink"/>
          </w:rPr>
          <w:t>https://webarchive.nationalarchives.gov.uk/20070305210912/http://www.dh.gov.uk/PublicationsAndStatistics/Publications/PublicationsPolicyAndGuidance/PublicationsPolicyAndGuidanceArticle/fs/en?CONTENT_ID=4110032&amp;chk=c4V6nR</w:t>
        </w:r>
      </w:hyperlink>
    </w:p>
    <w:p w14:paraId="578F66DA" w14:textId="77777777" w:rsidR="00C955B4" w:rsidRDefault="00C955B4" w:rsidP="00C955B4">
      <w:pPr>
        <w:pStyle w:val="ListParagraph"/>
        <w:numPr>
          <w:ilvl w:val="0"/>
          <w:numId w:val="39"/>
        </w:numPr>
        <w:autoSpaceDE w:val="0"/>
        <w:autoSpaceDN w:val="0"/>
        <w:adjustRightInd w:val="0"/>
        <w:spacing w:before="0" w:after="140" w:line="360" w:lineRule="auto"/>
        <w:jc w:val="left"/>
        <w:rPr>
          <w:rFonts w:cs="Arial"/>
          <w:lang w:val="en-US"/>
        </w:rPr>
      </w:pPr>
      <w:r>
        <w:rPr>
          <w:rFonts w:cs="Arial"/>
          <w:lang w:val="en-US"/>
        </w:rPr>
        <w:t xml:space="preserve">Department of Health and Social Care (2012). </w:t>
      </w:r>
      <w:r w:rsidRPr="00C955B4">
        <w:rPr>
          <w:rFonts w:cs="Arial"/>
          <w:lang w:val="en-US"/>
        </w:rPr>
        <w:t>Nurse and pharmacist independent prescribing changes announced</w:t>
      </w:r>
      <w:r>
        <w:rPr>
          <w:rFonts w:cs="Arial"/>
          <w:lang w:val="en-US"/>
        </w:rPr>
        <w:t xml:space="preserve">. [ONLINE] Available at: </w:t>
      </w:r>
      <w:hyperlink r:id="rId91" w:history="1">
        <w:r>
          <w:rPr>
            <w:rStyle w:val="Hyperlink"/>
          </w:rPr>
          <w:t>https://www.gov.uk/government/news/nurse-and-pharmacist-independent-prescribing-changes-announced</w:t>
        </w:r>
      </w:hyperlink>
    </w:p>
    <w:p w14:paraId="336992D0" w14:textId="77777777" w:rsidR="00B6122A" w:rsidRDefault="00B6122A" w:rsidP="00B6122A">
      <w:pPr>
        <w:pStyle w:val="ListParagraph"/>
        <w:numPr>
          <w:ilvl w:val="0"/>
          <w:numId w:val="39"/>
        </w:numPr>
        <w:autoSpaceDE w:val="0"/>
        <w:autoSpaceDN w:val="0"/>
        <w:adjustRightInd w:val="0"/>
        <w:spacing w:before="0" w:after="140" w:line="360" w:lineRule="auto"/>
        <w:jc w:val="left"/>
        <w:rPr>
          <w:rFonts w:cs="Arial"/>
          <w:lang w:val="en-US"/>
        </w:rPr>
      </w:pPr>
      <w:r>
        <w:rPr>
          <w:rFonts w:cs="Arial"/>
          <w:lang w:val="en-US"/>
        </w:rPr>
        <w:t xml:space="preserve">General Optical Council. Therapeutic Prescribing Specialties. [ONLINE] Available at: </w:t>
      </w:r>
      <w:hyperlink r:id="rId92" w:history="1">
        <w:r w:rsidRPr="00D701E2">
          <w:rPr>
            <w:rStyle w:val="Hyperlink"/>
            <w:rFonts w:cs="Arial"/>
            <w:lang w:val="en-US"/>
          </w:rPr>
          <w:t>https://www.optical.org/en/Education/Specialty_qualifications/Therapeutic_Prescribing_Specialties.cfm</w:t>
        </w:r>
      </w:hyperlink>
      <w:r>
        <w:rPr>
          <w:rFonts w:cs="Arial"/>
          <w:lang w:val="en-US"/>
        </w:rPr>
        <w:t xml:space="preserve"> </w:t>
      </w:r>
    </w:p>
    <w:p w14:paraId="7431F254" w14:textId="77777777" w:rsidR="00B339C9" w:rsidRDefault="00B339C9" w:rsidP="00B6122A">
      <w:pPr>
        <w:pStyle w:val="ListParagraph"/>
        <w:numPr>
          <w:ilvl w:val="0"/>
          <w:numId w:val="39"/>
        </w:numPr>
        <w:autoSpaceDE w:val="0"/>
        <w:autoSpaceDN w:val="0"/>
        <w:adjustRightInd w:val="0"/>
        <w:spacing w:before="0" w:after="140" w:line="360" w:lineRule="auto"/>
        <w:jc w:val="left"/>
        <w:rPr>
          <w:rFonts w:cs="Arial"/>
          <w:lang w:val="en-US"/>
        </w:rPr>
      </w:pPr>
      <w:r>
        <w:rPr>
          <w:rFonts w:cs="Arial"/>
          <w:lang w:val="en-US"/>
        </w:rPr>
        <w:t>General Pharmaceutical Council (</w:t>
      </w:r>
      <w:proofErr w:type="spellStart"/>
      <w:r>
        <w:rPr>
          <w:rFonts w:cs="Arial"/>
          <w:lang w:val="en-US"/>
        </w:rPr>
        <w:t>GPhC</w:t>
      </w:r>
      <w:proofErr w:type="spellEnd"/>
      <w:r>
        <w:rPr>
          <w:rFonts w:cs="Arial"/>
          <w:lang w:val="en-US"/>
        </w:rPr>
        <w:t xml:space="preserve">). [ONLINE] Available at: </w:t>
      </w:r>
      <w:hyperlink r:id="rId93" w:history="1">
        <w:r>
          <w:rPr>
            <w:rStyle w:val="Hyperlink"/>
          </w:rPr>
          <w:t>https://www.pharmacyregulation.org/</w:t>
        </w:r>
      </w:hyperlink>
    </w:p>
    <w:p w14:paraId="3B2A6645" w14:textId="77777777" w:rsidR="00A80364" w:rsidRPr="00B6122A" w:rsidRDefault="00A80364" w:rsidP="00B6122A">
      <w:pPr>
        <w:pStyle w:val="ListParagraph"/>
        <w:numPr>
          <w:ilvl w:val="0"/>
          <w:numId w:val="39"/>
        </w:numPr>
        <w:autoSpaceDE w:val="0"/>
        <w:autoSpaceDN w:val="0"/>
        <w:adjustRightInd w:val="0"/>
        <w:spacing w:before="0" w:after="140" w:line="360" w:lineRule="auto"/>
        <w:jc w:val="left"/>
        <w:rPr>
          <w:rFonts w:cs="Arial"/>
          <w:lang w:val="en-US"/>
        </w:rPr>
      </w:pPr>
      <w:r>
        <w:rPr>
          <w:rFonts w:cs="Arial"/>
          <w:lang w:val="en-US"/>
        </w:rPr>
        <w:t>General Pharmaceutical Council (</w:t>
      </w:r>
      <w:proofErr w:type="spellStart"/>
      <w:r>
        <w:rPr>
          <w:rFonts w:cs="Arial"/>
          <w:lang w:val="en-US"/>
        </w:rPr>
        <w:t>GPhC</w:t>
      </w:r>
      <w:proofErr w:type="spellEnd"/>
      <w:r>
        <w:rPr>
          <w:rFonts w:cs="Arial"/>
          <w:lang w:val="en-US"/>
        </w:rPr>
        <w:t xml:space="preserve">). Pharmacist Independent Prescriber. [ONLINE] Available at: </w:t>
      </w:r>
      <w:hyperlink r:id="rId94" w:history="1">
        <w:r>
          <w:rPr>
            <w:rStyle w:val="Hyperlink"/>
          </w:rPr>
          <w:t>https://www.pharmacyregulation.org/education/pharmacist-independent-prescriber</w:t>
        </w:r>
      </w:hyperlink>
    </w:p>
    <w:p w14:paraId="64A23251" w14:textId="77777777" w:rsidR="00C955B4" w:rsidRDefault="00C955B4" w:rsidP="007D7485">
      <w:pPr>
        <w:pStyle w:val="ListParagraph"/>
        <w:numPr>
          <w:ilvl w:val="0"/>
          <w:numId w:val="39"/>
        </w:numPr>
        <w:autoSpaceDE w:val="0"/>
        <w:autoSpaceDN w:val="0"/>
        <w:adjustRightInd w:val="0"/>
        <w:spacing w:before="0" w:after="140" w:line="360" w:lineRule="auto"/>
        <w:jc w:val="left"/>
        <w:rPr>
          <w:rFonts w:cs="Arial"/>
          <w:lang w:val="en-US"/>
        </w:rPr>
      </w:pPr>
      <w:r>
        <w:rPr>
          <w:rFonts w:cs="Arial"/>
          <w:lang w:val="en-US"/>
        </w:rPr>
        <w:t>GOV.uk Legislation: Medicinal Products: Prescription by Nurses</w:t>
      </w:r>
      <w:r w:rsidR="00B339C9">
        <w:rPr>
          <w:rFonts w:cs="Arial"/>
          <w:lang w:val="en-US"/>
        </w:rPr>
        <w:t xml:space="preserve"> etc. Act 1992. [ONLINE] Available at: </w:t>
      </w:r>
      <w:hyperlink r:id="rId95" w:history="1">
        <w:r w:rsidR="00B339C9">
          <w:rPr>
            <w:rStyle w:val="Hyperlink"/>
          </w:rPr>
          <w:t>http://www.legislation.gov.uk/ukpga/1992/28/pdfs/ukpga_19920028_en.pdf</w:t>
        </w:r>
      </w:hyperlink>
    </w:p>
    <w:p w14:paraId="3D7131AE" w14:textId="77777777" w:rsidR="00A80364" w:rsidRPr="00A80364" w:rsidRDefault="005221D2" w:rsidP="007D7485">
      <w:pPr>
        <w:pStyle w:val="ListParagraph"/>
        <w:numPr>
          <w:ilvl w:val="0"/>
          <w:numId w:val="39"/>
        </w:numPr>
        <w:autoSpaceDE w:val="0"/>
        <w:autoSpaceDN w:val="0"/>
        <w:adjustRightInd w:val="0"/>
        <w:spacing w:before="0" w:after="140" w:line="360" w:lineRule="auto"/>
        <w:jc w:val="left"/>
        <w:rPr>
          <w:rFonts w:cs="Arial"/>
          <w:lang w:val="en-US"/>
        </w:rPr>
      </w:pPr>
      <w:r>
        <w:rPr>
          <w:rFonts w:cs="Arial"/>
          <w:lang w:val="en-US"/>
        </w:rPr>
        <w:t xml:space="preserve">NHS Digital. [ONLINE] Available at: </w:t>
      </w:r>
      <w:hyperlink r:id="rId96" w:history="1">
        <w:r>
          <w:rPr>
            <w:rStyle w:val="Hyperlink"/>
          </w:rPr>
          <w:t>https://digital.nhs.uk/</w:t>
        </w:r>
      </w:hyperlink>
    </w:p>
    <w:p w14:paraId="3A8BBB66" w14:textId="77777777" w:rsidR="00B339C9" w:rsidRPr="00B339C9" w:rsidRDefault="00B339C9" w:rsidP="00B339C9">
      <w:pPr>
        <w:pStyle w:val="ListParagraph"/>
        <w:numPr>
          <w:ilvl w:val="0"/>
          <w:numId w:val="39"/>
        </w:numPr>
        <w:autoSpaceDE w:val="0"/>
        <w:autoSpaceDN w:val="0"/>
        <w:adjustRightInd w:val="0"/>
        <w:spacing w:before="0" w:after="140" w:line="360" w:lineRule="auto"/>
        <w:jc w:val="left"/>
        <w:rPr>
          <w:rFonts w:cs="Arial"/>
          <w:lang w:val="en-US"/>
        </w:rPr>
      </w:pPr>
      <w:r>
        <w:rPr>
          <w:rFonts w:cs="Arial"/>
          <w:lang w:val="en-US"/>
        </w:rPr>
        <w:t xml:space="preserve">NHS England. </w:t>
      </w:r>
      <w:r w:rsidRPr="00B339C9">
        <w:rPr>
          <w:rFonts w:cs="Arial"/>
          <w:lang w:val="en-US"/>
        </w:rPr>
        <w:t>Managing conflicts of interest in the NHS</w:t>
      </w:r>
      <w:r>
        <w:rPr>
          <w:rFonts w:cs="Arial"/>
          <w:lang w:val="en-US"/>
        </w:rPr>
        <w:t xml:space="preserve">. [ONLINE] Available at: </w:t>
      </w:r>
      <w:hyperlink r:id="rId97" w:history="1">
        <w:r>
          <w:rPr>
            <w:rStyle w:val="Hyperlink"/>
          </w:rPr>
          <w:t>https://www.england.nhs.uk/ourwork/coi/</w:t>
        </w:r>
      </w:hyperlink>
    </w:p>
    <w:p w14:paraId="1DA11412" w14:textId="77777777" w:rsidR="007D7485" w:rsidRPr="00A80364" w:rsidRDefault="007D7485" w:rsidP="007D7485">
      <w:pPr>
        <w:pStyle w:val="ListParagraph"/>
        <w:numPr>
          <w:ilvl w:val="0"/>
          <w:numId w:val="39"/>
        </w:numPr>
        <w:autoSpaceDE w:val="0"/>
        <w:autoSpaceDN w:val="0"/>
        <w:adjustRightInd w:val="0"/>
        <w:spacing w:before="0" w:after="140" w:line="360" w:lineRule="auto"/>
        <w:jc w:val="left"/>
        <w:rPr>
          <w:rFonts w:cs="Arial"/>
          <w:lang w:val="en-US"/>
        </w:rPr>
      </w:pPr>
      <w:r>
        <w:t>NHS Waltham Forest BNF</w:t>
      </w:r>
      <w:r w:rsidR="003B723E">
        <w:t xml:space="preserve"> formulary Complete</w:t>
      </w:r>
      <w:r>
        <w:t xml:space="preserve">. [ONLINE] Available at: </w:t>
      </w:r>
      <w:hyperlink r:id="rId98" w:history="1">
        <w:r w:rsidR="00795E2C" w:rsidRPr="007D7485">
          <w:rPr>
            <w:rFonts w:cs="Arial"/>
            <w:bCs/>
            <w:color w:val="0563C1"/>
            <w:u w:val="single"/>
          </w:rPr>
          <w:t>http://bnf.walthamforestccg.nhs.uk:8080/bnf/view/page/doctree/2000002</w:t>
        </w:r>
      </w:hyperlink>
    </w:p>
    <w:p w14:paraId="478BAC1D" w14:textId="77777777" w:rsidR="00B339C9" w:rsidRPr="00B339C9" w:rsidRDefault="00B339C9" w:rsidP="00A80364">
      <w:pPr>
        <w:pStyle w:val="ListParagraph"/>
        <w:numPr>
          <w:ilvl w:val="0"/>
          <w:numId w:val="39"/>
        </w:numPr>
        <w:autoSpaceDE w:val="0"/>
        <w:autoSpaceDN w:val="0"/>
        <w:adjustRightInd w:val="0"/>
        <w:spacing w:before="0" w:after="140" w:line="360" w:lineRule="auto"/>
        <w:jc w:val="left"/>
        <w:rPr>
          <w:rFonts w:cs="Arial"/>
          <w:lang w:val="en-US"/>
        </w:rPr>
      </w:pPr>
      <w:r>
        <w:rPr>
          <w:rFonts w:cs="Arial"/>
          <w:lang w:val="en-US"/>
        </w:rPr>
        <w:t xml:space="preserve">Nursing and Midwifery Council (NMC). [ONLINE] Available at: </w:t>
      </w:r>
      <w:hyperlink r:id="rId99" w:history="1">
        <w:r>
          <w:rPr>
            <w:rStyle w:val="Hyperlink"/>
          </w:rPr>
          <w:t>https://www.nmc.org.uk/</w:t>
        </w:r>
      </w:hyperlink>
    </w:p>
    <w:p w14:paraId="5456A981" w14:textId="77777777" w:rsidR="00A80364" w:rsidRPr="007D7485" w:rsidRDefault="00A80364" w:rsidP="00A80364">
      <w:pPr>
        <w:pStyle w:val="ListParagraph"/>
        <w:numPr>
          <w:ilvl w:val="0"/>
          <w:numId w:val="39"/>
        </w:numPr>
        <w:autoSpaceDE w:val="0"/>
        <w:autoSpaceDN w:val="0"/>
        <w:adjustRightInd w:val="0"/>
        <w:spacing w:before="0" w:after="140" w:line="360" w:lineRule="auto"/>
        <w:jc w:val="left"/>
        <w:rPr>
          <w:rStyle w:val="Hyperlink"/>
          <w:rFonts w:cs="Arial"/>
          <w:color w:val="auto"/>
          <w:u w:val="none"/>
          <w:lang w:val="en-US"/>
        </w:rPr>
      </w:pPr>
      <w:r>
        <w:t>Nursing and Midwifery Council (NMC).</w:t>
      </w:r>
      <w:r>
        <w:rPr>
          <w:rStyle w:val="Hyperlink"/>
          <w:rFonts w:cs="Arial"/>
          <w:color w:val="auto"/>
          <w:u w:val="none"/>
          <w:lang w:val="en-US"/>
        </w:rPr>
        <w:t xml:space="preserve"> </w:t>
      </w:r>
      <w:r w:rsidRPr="00A80364">
        <w:rPr>
          <w:rStyle w:val="Hyperlink"/>
          <w:rFonts w:cs="Arial"/>
          <w:color w:val="auto"/>
          <w:u w:val="none"/>
          <w:lang w:val="en-US"/>
        </w:rPr>
        <w:t>Standards for medicines management</w:t>
      </w:r>
      <w:r>
        <w:rPr>
          <w:rStyle w:val="Hyperlink"/>
          <w:rFonts w:cs="Arial"/>
          <w:color w:val="auto"/>
          <w:u w:val="none"/>
          <w:lang w:val="en-US"/>
        </w:rPr>
        <w:t xml:space="preserve">. [ONLINE] Available at: </w:t>
      </w:r>
      <w:hyperlink r:id="rId100" w:history="1">
        <w:r>
          <w:rPr>
            <w:rStyle w:val="Hyperlink"/>
          </w:rPr>
          <w:t>https://www.nmc.org.uk/standards/standards-for-post-registration/standards-for-medicines-management/</w:t>
        </w:r>
      </w:hyperlink>
    </w:p>
    <w:p w14:paraId="1BB192F5" w14:textId="77777777" w:rsidR="00C955B4" w:rsidRDefault="00C955B4" w:rsidP="007D7485">
      <w:pPr>
        <w:pStyle w:val="ListParagraph"/>
        <w:numPr>
          <w:ilvl w:val="0"/>
          <w:numId w:val="39"/>
        </w:numPr>
        <w:autoSpaceDE w:val="0"/>
        <w:autoSpaceDN w:val="0"/>
        <w:adjustRightInd w:val="0"/>
        <w:spacing w:before="0" w:after="0" w:line="360" w:lineRule="auto"/>
        <w:jc w:val="left"/>
        <w:rPr>
          <w:rStyle w:val="Hyperlink"/>
          <w:rFonts w:cs="Arial"/>
          <w:color w:val="auto"/>
          <w:u w:val="none"/>
          <w:lang w:val="en-US"/>
        </w:rPr>
      </w:pPr>
      <w:r>
        <w:t xml:space="preserve">Nursing and Midwifery Council (NMC). Standards of proficiency for nurse and midwife prescribers. [ONLINE] Available at: </w:t>
      </w:r>
      <w:hyperlink r:id="rId101" w:history="1">
        <w:r>
          <w:rPr>
            <w:rStyle w:val="Hyperlink"/>
          </w:rPr>
          <w:t>https://www.nmc.org.uk/globalassets/sitedocuments/standards/nmc-standards-proficiency-nurse-and-midwife-prescribers.pdf</w:t>
        </w:r>
      </w:hyperlink>
    </w:p>
    <w:p w14:paraId="065F735C" w14:textId="77777777" w:rsidR="007D7485" w:rsidRPr="007D7485" w:rsidRDefault="007D7485" w:rsidP="007D7485">
      <w:pPr>
        <w:pStyle w:val="ListParagraph"/>
        <w:numPr>
          <w:ilvl w:val="0"/>
          <w:numId w:val="39"/>
        </w:numPr>
        <w:autoSpaceDE w:val="0"/>
        <w:autoSpaceDN w:val="0"/>
        <w:adjustRightInd w:val="0"/>
        <w:spacing w:before="0" w:after="0" w:line="360" w:lineRule="auto"/>
        <w:jc w:val="left"/>
        <w:rPr>
          <w:rFonts w:cs="Arial"/>
          <w:lang w:val="en-US"/>
        </w:rPr>
      </w:pPr>
      <w:r w:rsidRPr="007D7485">
        <w:rPr>
          <w:rStyle w:val="Hyperlink"/>
          <w:rFonts w:cs="Arial"/>
          <w:color w:val="auto"/>
          <w:u w:val="none"/>
          <w:lang w:val="en-US"/>
        </w:rPr>
        <w:t>Royal Pharmaceutical Society (RPS). Practical Guide for Independent Prescribers. [ONLINE] Available at:</w:t>
      </w:r>
      <w:r>
        <w:rPr>
          <w:rStyle w:val="Hyperlink"/>
          <w:rFonts w:cs="Arial"/>
          <w:color w:val="auto"/>
          <w:u w:val="none"/>
          <w:lang w:val="en-US"/>
        </w:rPr>
        <w:t xml:space="preserve"> </w:t>
      </w:r>
      <w:hyperlink r:id="rId102" w:history="1">
        <w:r w:rsidRPr="007D7485">
          <w:rPr>
            <w:rStyle w:val="Hyperlink"/>
            <w:rFonts w:cs="Arial"/>
            <w:lang w:val="en-US"/>
          </w:rPr>
          <w:t>https://www.rpharms.com/resources/ultimate-guides-and-hubs/independent-prescribers</w:t>
        </w:r>
      </w:hyperlink>
      <w:r w:rsidRPr="007D7485">
        <w:rPr>
          <w:rFonts w:cs="Arial"/>
          <w:lang w:val="en-US"/>
        </w:rPr>
        <w:t xml:space="preserve"> </w:t>
      </w:r>
    </w:p>
    <w:p w14:paraId="16D9464C" w14:textId="77777777" w:rsidR="00CC2369" w:rsidRPr="00B339C9" w:rsidRDefault="007D7485" w:rsidP="00B339C9">
      <w:pPr>
        <w:pStyle w:val="ListParagraph"/>
        <w:numPr>
          <w:ilvl w:val="0"/>
          <w:numId w:val="39"/>
        </w:numPr>
        <w:autoSpaceDE w:val="0"/>
        <w:autoSpaceDN w:val="0"/>
        <w:adjustRightInd w:val="0"/>
        <w:spacing w:before="0" w:after="140" w:line="360" w:lineRule="auto"/>
        <w:jc w:val="left"/>
        <w:rPr>
          <w:rFonts w:cs="Arial"/>
          <w:lang w:val="en-US"/>
        </w:rPr>
      </w:pPr>
      <w:r w:rsidRPr="007D7485">
        <w:rPr>
          <w:rStyle w:val="Hyperlink"/>
          <w:rFonts w:cs="Arial"/>
          <w:color w:val="auto"/>
          <w:u w:val="none"/>
          <w:lang w:val="en-US"/>
        </w:rPr>
        <w:t>Roy</w:t>
      </w:r>
      <w:r>
        <w:rPr>
          <w:rStyle w:val="Hyperlink"/>
          <w:rFonts w:cs="Arial"/>
          <w:color w:val="auto"/>
          <w:u w:val="none"/>
          <w:lang w:val="en-US"/>
        </w:rPr>
        <w:t xml:space="preserve">al Pharmaceutical Society (RPS). </w:t>
      </w:r>
      <w:r w:rsidRPr="007D7485">
        <w:rPr>
          <w:rStyle w:val="Hyperlink"/>
          <w:rFonts w:cs="Arial"/>
          <w:color w:val="auto"/>
          <w:u w:val="none"/>
          <w:lang w:val="en-US"/>
        </w:rPr>
        <w:t xml:space="preserve">Prescribing Competency Framework. [ONLINE] Available at: </w:t>
      </w:r>
      <w:hyperlink r:id="rId103" w:history="1">
        <w:r w:rsidR="00795E2C" w:rsidRPr="007D7485">
          <w:rPr>
            <w:rStyle w:val="Hyperlink"/>
            <w:rFonts w:cs="Arial"/>
          </w:rPr>
          <w:t>https://www.rpharms.com/resources/frameworks/prescribers-competency-framework</w:t>
        </w:r>
      </w:hyperlink>
    </w:p>
    <w:p w14:paraId="286A9C17" w14:textId="77777777" w:rsidR="00CC2369" w:rsidRDefault="00CC2369" w:rsidP="004B1202">
      <w:pPr>
        <w:tabs>
          <w:tab w:val="left" w:pos="2620"/>
        </w:tabs>
      </w:pPr>
    </w:p>
    <w:p w14:paraId="1CF2E6F7" w14:textId="77777777" w:rsidR="00364553" w:rsidRPr="004B1202" w:rsidRDefault="00364553" w:rsidP="00065301">
      <w:pPr>
        <w:tabs>
          <w:tab w:val="left" w:pos="2100"/>
        </w:tabs>
      </w:pPr>
      <w:bookmarkStart w:id="87" w:name="_GoBack"/>
      <w:bookmarkEnd w:id="0"/>
      <w:bookmarkEnd w:id="87"/>
    </w:p>
    <w:sectPr w:rsidR="00364553" w:rsidRPr="004B1202" w:rsidSect="00EB7AD3">
      <w:footerReference w:type="even" r:id="rId104"/>
      <w:headerReference w:type="first" r:id="rId105"/>
      <w:pgSz w:w="11906" w:h="16838"/>
      <w:pgMar w:top="1843" w:right="992" w:bottom="851" w:left="992" w:header="709"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47F69" w14:textId="77777777" w:rsidR="00CF2869" w:rsidRDefault="00CF2869" w:rsidP="00F1465C">
      <w:r>
        <w:separator/>
      </w:r>
    </w:p>
    <w:p w14:paraId="0A689C37" w14:textId="77777777" w:rsidR="00CF2869" w:rsidRDefault="00CF2869"/>
  </w:endnote>
  <w:endnote w:type="continuationSeparator" w:id="0">
    <w:p w14:paraId="59050C38" w14:textId="77777777" w:rsidR="00CF2869" w:rsidRDefault="00CF2869" w:rsidP="00F1465C">
      <w:r>
        <w:continuationSeparator/>
      </w:r>
    </w:p>
    <w:p w14:paraId="31B2A6D9" w14:textId="77777777" w:rsidR="00CF2869" w:rsidRDefault="00CF2869"/>
  </w:endnote>
  <w:endnote w:type="continuationNotice" w:id="1">
    <w:p w14:paraId="7771364C" w14:textId="77777777" w:rsidR="00CF2869" w:rsidRDefault="00CF2869" w:rsidP="00547524">
      <w:pPr>
        <w:spacing w:before="0" w:after="0"/>
      </w:pPr>
    </w:p>
    <w:p w14:paraId="4D3CE8C9" w14:textId="77777777" w:rsidR="00CF2869" w:rsidRDefault="00CF28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JJBEP+Arial">
    <w:altName w:val="Arial"/>
    <w:panose1 w:val="00000000000000000000"/>
    <w:charset w:val="00"/>
    <w:family w:val="swiss"/>
    <w:notTrueType/>
    <w:pitch w:val="default"/>
    <w:sig w:usb0="00000003" w:usb1="00000000" w:usb2="00000000" w:usb3="00000000" w:csb0="00000001" w:csb1="00000000"/>
  </w:font>
  <w:font w:name="Frutiger">
    <w:altName w:val="Frutiger"/>
    <w:charset w:val="00"/>
    <w:family w:val="swiss"/>
    <w:pitch w:val="variable"/>
    <w:sig w:usb0="80000027" w:usb1="00000000" w:usb2="00000000" w:usb3="00000000" w:csb0="00000001" w:csb1="00000000"/>
  </w:font>
  <w:font w:name="Arial Bold">
    <w:altName w:val="Arial"/>
    <w:panose1 w:val="020B0704020202020204"/>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C44AF" w14:textId="77777777" w:rsidR="00CF2869" w:rsidRPr="00065301" w:rsidRDefault="00CF2869" w:rsidP="000653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F2593" w14:textId="77777777" w:rsidR="00CF2869" w:rsidRPr="00065301" w:rsidRDefault="00CF2869">
    <w:pPr>
      <w:pStyle w:val="Footer"/>
      <w:rPr>
        <w:color w:val="1F4E79"/>
      </w:rPr>
    </w:pPr>
    <w:r>
      <w:rPr>
        <w:noProof/>
        <w:lang w:eastAsia="en-GB"/>
      </w:rPr>
      <w:drawing>
        <wp:anchor distT="0" distB="0" distL="114300" distR="114300" simplePos="0" relativeHeight="251656704" behindDoc="1" locked="0" layoutInCell="1" allowOverlap="1" wp14:anchorId="25C72890" wp14:editId="646BF241">
          <wp:simplePos x="0" y="0"/>
          <wp:positionH relativeFrom="page">
            <wp:posOffset>2540</wp:posOffset>
          </wp:positionH>
          <wp:positionV relativeFrom="page">
            <wp:posOffset>9825355</wp:posOffset>
          </wp:positionV>
          <wp:extent cx="7538720" cy="8667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866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EF8D2" w14:textId="77777777" w:rsidR="00CF2869" w:rsidRDefault="00CF2869" w:rsidP="00065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8592B" w14:textId="77777777" w:rsidR="00CF2869" w:rsidRDefault="00CF2869" w:rsidP="00F1465C">
      <w:r>
        <w:separator/>
      </w:r>
    </w:p>
    <w:p w14:paraId="3181A854" w14:textId="77777777" w:rsidR="00CF2869" w:rsidRDefault="00CF2869"/>
  </w:footnote>
  <w:footnote w:type="continuationSeparator" w:id="0">
    <w:p w14:paraId="28FE160B" w14:textId="77777777" w:rsidR="00CF2869" w:rsidRDefault="00CF2869" w:rsidP="00F1465C">
      <w:r>
        <w:continuationSeparator/>
      </w:r>
    </w:p>
    <w:p w14:paraId="36A07332" w14:textId="77777777" w:rsidR="00CF2869" w:rsidRDefault="00CF2869"/>
  </w:footnote>
  <w:footnote w:type="continuationNotice" w:id="1">
    <w:p w14:paraId="1C599B6D" w14:textId="77777777" w:rsidR="00CF2869" w:rsidRDefault="00CF2869" w:rsidP="00547524">
      <w:pPr>
        <w:spacing w:before="0" w:after="0"/>
      </w:pPr>
    </w:p>
    <w:p w14:paraId="34AC63FD" w14:textId="77777777" w:rsidR="00CF2869" w:rsidRDefault="00CF28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64194" w14:textId="77777777" w:rsidR="00CF2869" w:rsidRPr="00B313EA" w:rsidRDefault="00CF2869" w:rsidP="00911AA9">
    <w:pPr>
      <w:pStyle w:val="Header"/>
      <w:tabs>
        <w:tab w:val="clear" w:pos="4513"/>
        <w:tab w:val="clear" w:pos="9026"/>
        <w:tab w:val="left" w:pos="2442"/>
        <w:tab w:val="center" w:pos="4961"/>
      </w:tabs>
      <w:rPr>
        <w:rFonts w:cs="Arial"/>
        <w:sz w:val="20"/>
        <w:szCs w:val="20"/>
      </w:rPr>
    </w:pPr>
    <w:r w:rsidRPr="00B313EA">
      <w:rPr>
        <w:rFonts w:cs="Arial"/>
        <w:sz w:val="20"/>
        <w:szCs w:val="20"/>
      </w:rPr>
      <w:t xml:space="preserve">Page </w:t>
    </w:r>
    <w:r w:rsidRPr="00B313EA">
      <w:rPr>
        <w:rFonts w:cs="Arial"/>
        <w:b/>
        <w:bCs/>
        <w:sz w:val="20"/>
        <w:szCs w:val="20"/>
      </w:rPr>
      <w:fldChar w:fldCharType="begin"/>
    </w:r>
    <w:r w:rsidRPr="00B313EA">
      <w:rPr>
        <w:rFonts w:cs="Arial"/>
        <w:b/>
        <w:bCs/>
        <w:sz w:val="20"/>
        <w:szCs w:val="20"/>
      </w:rPr>
      <w:instrText xml:space="preserve"> PAGE </w:instrText>
    </w:r>
    <w:r w:rsidRPr="00B313EA">
      <w:rPr>
        <w:rFonts w:cs="Arial"/>
        <w:b/>
        <w:bCs/>
        <w:sz w:val="20"/>
        <w:szCs w:val="20"/>
      </w:rPr>
      <w:fldChar w:fldCharType="separate"/>
    </w:r>
    <w:r>
      <w:rPr>
        <w:rFonts w:cs="Arial"/>
        <w:b/>
        <w:bCs/>
        <w:noProof/>
        <w:sz w:val="20"/>
        <w:szCs w:val="20"/>
      </w:rPr>
      <w:t>32</w:t>
    </w:r>
    <w:r w:rsidRPr="00B313EA">
      <w:rPr>
        <w:rFonts w:cs="Arial"/>
        <w:b/>
        <w:bCs/>
        <w:sz w:val="20"/>
        <w:szCs w:val="20"/>
      </w:rPr>
      <w:fldChar w:fldCharType="end"/>
    </w:r>
    <w:r w:rsidRPr="00B313EA">
      <w:rPr>
        <w:rFonts w:cs="Arial"/>
        <w:sz w:val="20"/>
        <w:szCs w:val="20"/>
      </w:rPr>
      <w:t xml:space="preserve"> of </w:t>
    </w:r>
    <w:r w:rsidRPr="00B313EA">
      <w:rPr>
        <w:rFonts w:cs="Arial"/>
        <w:b/>
        <w:bCs/>
        <w:sz w:val="20"/>
        <w:szCs w:val="20"/>
      </w:rPr>
      <w:fldChar w:fldCharType="begin"/>
    </w:r>
    <w:r w:rsidRPr="00B313EA">
      <w:rPr>
        <w:rFonts w:cs="Arial"/>
        <w:b/>
        <w:bCs/>
        <w:sz w:val="20"/>
        <w:szCs w:val="20"/>
      </w:rPr>
      <w:instrText xml:space="preserve"> NUMPAGES  </w:instrText>
    </w:r>
    <w:r w:rsidRPr="00B313EA">
      <w:rPr>
        <w:rFonts w:cs="Arial"/>
        <w:b/>
        <w:bCs/>
        <w:sz w:val="20"/>
        <w:szCs w:val="20"/>
      </w:rPr>
      <w:fldChar w:fldCharType="separate"/>
    </w:r>
    <w:r>
      <w:rPr>
        <w:rFonts w:cs="Arial"/>
        <w:b/>
        <w:bCs/>
        <w:noProof/>
        <w:sz w:val="20"/>
        <w:szCs w:val="20"/>
      </w:rPr>
      <w:t>37</w:t>
    </w:r>
    <w:r w:rsidRPr="00B313EA">
      <w:rPr>
        <w:rFonts w:cs="Arial"/>
        <w:b/>
        <w:bCs/>
        <w:sz w:val="20"/>
        <w:szCs w:val="20"/>
      </w:rPr>
      <w:fldChar w:fldCharType="end"/>
    </w:r>
    <w:r>
      <w:rPr>
        <w:rFonts w:cs="Arial"/>
        <w:b/>
        <w:bCs/>
        <w:sz w:val="20"/>
        <w:szCs w:val="20"/>
      </w:rPr>
      <w:tab/>
    </w:r>
    <w:r>
      <w:rPr>
        <w:rFonts w:cs="Arial"/>
        <w:b/>
        <w:bCs/>
        <w:sz w:val="20"/>
        <w:szCs w:val="20"/>
      </w:rPr>
      <w:tab/>
    </w:r>
  </w:p>
  <w:p w14:paraId="60EE8AD4" w14:textId="77777777" w:rsidR="00CF2869" w:rsidRDefault="00CF2869">
    <w:pPr>
      <w:pStyle w:val="Header"/>
      <w:rPr>
        <w:b/>
        <w:bCs/>
        <w:noProof/>
        <w:color w:val="222A35" w:themeColor="text2" w:themeShade="80"/>
        <w:sz w:val="18"/>
        <w:szCs w:val="18"/>
        <w:lang w:eastAsia="en-GB"/>
      </w:rPr>
    </w:pPr>
  </w:p>
  <w:p w14:paraId="3A50CC78" w14:textId="77777777" w:rsidR="00CF2869" w:rsidRDefault="00CF2869">
    <w:pPr>
      <w:pStyle w:val="Header"/>
    </w:pPr>
  </w:p>
  <w:p w14:paraId="48C0EF2F" w14:textId="77777777" w:rsidR="00CF2869" w:rsidRDefault="00CF2869">
    <w:pPr>
      <w:pStyle w:val="Header"/>
    </w:pPr>
  </w:p>
  <w:p w14:paraId="2CA4C4E1" w14:textId="77777777" w:rsidR="00CF2869" w:rsidRDefault="00CF2869" w:rsidP="00194009">
    <w:pPr>
      <w:pStyle w:val="Header"/>
      <w:tabs>
        <w:tab w:val="clear" w:pos="4513"/>
        <w:tab w:val="clear" w:pos="9026"/>
        <w:tab w:val="center" w:pos="4961"/>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1351D" w14:textId="77777777" w:rsidR="00CF2869" w:rsidRDefault="00CF28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608F"/>
    <w:multiLevelType w:val="hybridMultilevel"/>
    <w:tmpl w:val="1EA64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FE3047"/>
    <w:multiLevelType w:val="multilevel"/>
    <w:tmpl w:val="8BE8A850"/>
    <w:lvl w:ilvl="0">
      <w:start w:val="1"/>
      <w:numFmt w:val="bullet"/>
      <w:lvlText w:val=""/>
      <w:lvlJc w:val="left"/>
      <w:pPr>
        <w:ind w:left="567" w:hanging="283"/>
      </w:pPr>
      <w:rPr>
        <w:rFonts w:ascii="Symbol" w:hAnsi="Symbol" w:hint="default"/>
        <w:color w:val="31288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C60375"/>
    <w:multiLevelType w:val="hybridMultilevel"/>
    <w:tmpl w:val="5E205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F71FF"/>
    <w:multiLevelType w:val="hybridMultilevel"/>
    <w:tmpl w:val="FEB4EE0C"/>
    <w:lvl w:ilvl="0" w:tplc="7CCC0E8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72F71"/>
    <w:multiLevelType w:val="hybridMultilevel"/>
    <w:tmpl w:val="85B88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4A7FBF"/>
    <w:multiLevelType w:val="hybridMultilevel"/>
    <w:tmpl w:val="95C8C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80DA8"/>
    <w:multiLevelType w:val="hybridMultilevel"/>
    <w:tmpl w:val="AF36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94AF9"/>
    <w:multiLevelType w:val="hybridMultilevel"/>
    <w:tmpl w:val="E26E1B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B5408B"/>
    <w:multiLevelType w:val="hybridMultilevel"/>
    <w:tmpl w:val="AF3AF498"/>
    <w:lvl w:ilvl="0" w:tplc="0C66ECFC">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5901A0"/>
    <w:multiLevelType w:val="hybridMultilevel"/>
    <w:tmpl w:val="4E00B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383851"/>
    <w:multiLevelType w:val="hybridMultilevel"/>
    <w:tmpl w:val="615EB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A05909"/>
    <w:multiLevelType w:val="hybridMultilevel"/>
    <w:tmpl w:val="CDE0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FF048E"/>
    <w:multiLevelType w:val="hybridMultilevel"/>
    <w:tmpl w:val="EFB4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F01F2C"/>
    <w:multiLevelType w:val="hybridMultilevel"/>
    <w:tmpl w:val="1042E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31549A"/>
    <w:multiLevelType w:val="hybridMultilevel"/>
    <w:tmpl w:val="A1665C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0D816AE"/>
    <w:multiLevelType w:val="hybridMultilevel"/>
    <w:tmpl w:val="66F0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997A93"/>
    <w:multiLevelType w:val="hybridMultilevel"/>
    <w:tmpl w:val="906E2F64"/>
    <w:lvl w:ilvl="0" w:tplc="73C276D2">
      <w:start w:val="1"/>
      <w:numFmt w:val="bullet"/>
      <w:pStyle w:val="VS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68122C"/>
    <w:multiLevelType w:val="hybridMultilevel"/>
    <w:tmpl w:val="AA60B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267C86"/>
    <w:multiLevelType w:val="hybridMultilevel"/>
    <w:tmpl w:val="CAA83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FE419E"/>
    <w:multiLevelType w:val="hybridMultilevel"/>
    <w:tmpl w:val="00F86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AD3D9B"/>
    <w:multiLevelType w:val="hybridMultilevel"/>
    <w:tmpl w:val="F7087C6A"/>
    <w:lvl w:ilvl="0" w:tplc="85545C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0E6DD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38630A8"/>
    <w:multiLevelType w:val="multilevel"/>
    <w:tmpl w:val="C522501E"/>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472765D4"/>
    <w:multiLevelType w:val="hybridMultilevel"/>
    <w:tmpl w:val="66DEE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00105B"/>
    <w:multiLevelType w:val="hybridMultilevel"/>
    <w:tmpl w:val="6D8AE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7D3963"/>
    <w:multiLevelType w:val="multilevel"/>
    <w:tmpl w:val="71E4C6B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2053DB2"/>
    <w:multiLevelType w:val="hybridMultilevel"/>
    <w:tmpl w:val="1FCE9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24310FB"/>
    <w:multiLevelType w:val="hybridMultilevel"/>
    <w:tmpl w:val="4306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C0571C"/>
    <w:multiLevelType w:val="multilevel"/>
    <w:tmpl w:val="5094A50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88819E0"/>
    <w:multiLevelType w:val="hybridMultilevel"/>
    <w:tmpl w:val="8154190A"/>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0" w15:restartNumberingAfterBreak="0">
    <w:nsid w:val="5B313D0A"/>
    <w:multiLevelType w:val="hybridMultilevel"/>
    <w:tmpl w:val="C136C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B326D0"/>
    <w:multiLevelType w:val="multilevel"/>
    <w:tmpl w:val="8286B082"/>
    <w:lvl w:ilvl="0">
      <w:start w:val="16"/>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3529F7"/>
    <w:multiLevelType w:val="hybridMultilevel"/>
    <w:tmpl w:val="F93A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721539"/>
    <w:multiLevelType w:val="multilevel"/>
    <w:tmpl w:val="9FAE77A0"/>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365649F"/>
    <w:multiLevelType w:val="hybridMultilevel"/>
    <w:tmpl w:val="3600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EA06FD"/>
    <w:multiLevelType w:val="hybridMultilevel"/>
    <w:tmpl w:val="71041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8135D5"/>
    <w:multiLevelType w:val="hybridMultilevel"/>
    <w:tmpl w:val="9EEC38E2"/>
    <w:lvl w:ilvl="0" w:tplc="864A340C">
      <w:start w:val="1"/>
      <w:numFmt w:val="decimal"/>
      <w:lvlText w:val="%1."/>
      <w:lvlJc w:val="left"/>
      <w:pPr>
        <w:ind w:left="360" w:hanging="360"/>
      </w:pPr>
      <w:rPr>
        <w:rFonts w:ascii="Arial" w:hAnsi="Arial" w:cs="Arial"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B5A2CBD"/>
    <w:multiLevelType w:val="hybridMultilevel"/>
    <w:tmpl w:val="86B4365A"/>
    <w:lvl w:ilvl="0" w:tplc="93C42D1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A85DBD"/>
    <w:multiLevelType w:val="hybridMultilevel"/>
    <w:tmpl w:val="BEB23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E161A6"/>
    <w:multiLevelType w:val="hybridMultilevel"/>
    <w:tmpl w:val="9F66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2F7E57"/>
    <w:multiLevelType w:val="multilevel"/>
    <w:tmpl w:val="53E0331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1522A1A"/>
    <w:multiLevelType w:val="hybridMultilevel"/>
    <w:tmpl w:val="AFF610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1FB0BB9"/>
    <w:multiLevelType w:val="hybridMultilevel"/>
    <w:tmpl w:val="C640F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391EFD"/>
    <w:multiLevelType w:val="multilevel"/>
    <w:tmpl w:val="426A3BAA"/>
    <w:lvl w:ilvl="0">
      <w:start w:val="1"/>
      <w:numFmt w:val="bullet"/>
      <w:lvlText w:val=""/>
      <w:lvlJc w:val="left"/>
      <w:pPr>
        <w:ind w:left="1440" w:hanging="360"/>
      </w:pPr>
      <w:rPr>
        <w:rFonts w:ascii="Symbol" w:hAnsi="Symbol" w:hint="default"/>
        <w:color w:val="31288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5576216"/>
    <w:multiLevelType w:val="hybridMultilevel"/>
    <w:tmpl w:val="10DA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E23526"/>
    <w:multiLevelType w:val="hybridMultilevel"/>
    <w:tmpl w:val="D0DAEDAC"/>
    <w:lvl w:ilvl="0" w:tplc="9C841082">
      <w:start w:val="1"/>
      <w:numFmt w:val="bullet"/>
      <w:lvlText w:val=""/>
      <w:lvlJc w:val="left"/>
      <w:pPr>
        <w:ind w:left="283" w:hanging="283"/>
      </w:pPr>
      <w:rPr>
        <w:rFonts w:ascii="Symbol" w:hAnsi="Symbol" w:hint="default"/>
        <w:color w:val="005EB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9"/>
  </w:num>
  <w:num w:numId="4">
    <w:abstractNumId w:val="10"/>
  </w:num>
  <w:num w:numId="5">
    <w:abstractNumId w:val="5"/>
  </w:num>
  <w:num w:numId="6">
    <w:abstractNumId w:val="9"/>
  </w:num>
  <w:num w:numId="7">
    <w:abstractNumId w:val="26"/>
  </w:num>
  <w:num w:numId="8">
    <w:abstractNumId w:val="0"/>
  </w:num>
  <w:num w:numId="9">
    <w:abstractNumId w:val="35"/>
  </w:num>
  <w:num w:numId="10">
    <w:abstractNumId w:val="7"/>
  </w:num>
  <w:num w:numId="11">
    <w:abstractNumId w:val="14"/>
  </w:num>
  <w:num w:numId="12">
    <w:abstractNumId w:val="3"/>
  </w:num>
  <w:num w:numId="13">
    <w:abstractNumId w:val="44"/>
  </w:num>
  <w:num w:numId="14">
    <w:abstractNumId w:val="27"/>
  </w:num>
  <w:num w:numId="15">
    <w:abstractNumId w:val="38"/>
  </w:num>
  <w:num w:numId="16">
    <w:abstractNumId w:val="23"/>
  </w:num>
  <w:num w:numId="17">
    <w:abstractNumId w:val="30"/>
  </w:num>
  <w:num w:numId="18">
    <w:abstractNumId w:val="20"/>
  </w:num>
  <w:num w:numId="19">
    <w:abstractNumId w:val="15"/>
  </w:num>
  <w:num w:numId="20">
    <w:abstractNumId w:val="11"/>
  </w:num>
  <w:num w:numId="21">
    <w:abstractNumId w:val="29"/>
  </w:num>
  <w:num w:numId="22">
    <w:abstractNumId w:val="13"/>
  </w:num>
  <w:num w:numId="23">
    <w:abstractNumId w:val="2"/>
  </w:num>
  <w:num w:numId="24">
    <w:abstractNumId w:val="18"/>
  </w:num>
  <w:num w:numId="25">
    <w:abstractNumId w:val="42"/>
  </w:num>
  <w:num w:numId="26">
    <w:abstractNumId w:val="32"/>
  </w:num>
  <w:num w:numId="27">
    <w:abstractNumId w:val="39"/>
  </w:num>
  <w:num w:numId="28">
    <w:abstractNumId w:val="6"/>
  </w:num>
  <w:num w:numId="29">
    <w:abstractNumId w:val="34"/>
  </w:num>
  <w:num w:numId="30">
    <w:abstractNumId w:val="12"/>
  </w:num>
  <w:num w:numId="31">
    <w:abstractNumId w:val="41"/>
  </w:num>
  <w:num w:numId="32">
    <w:abstractNumId w:val="22"/>
  </w:num>
  <w:num w:numId="33">
    <w:abstractNumId w:val="33"/>
  </w:num>
  <w:num w:numId="34">
    <w:abstractNumId w:val="28"/>
  </w:num>
  <w:num w:numId="35">
    <w:abstractNumId w:val="25"/>
  </w:num>
  <w:num w:numId="36">
    <w:abstractNumId w:val="37"/>
  </w:num>
  <w:num w:numId="37">
    <w:abstractNumId w:val="36"/>
  </w:num>
  <w:num w:numId="38">
    <w:abstractNumId w:val="17"/>
  </w:num>
  <w:num w:numId="39">
    <w:abstractNumId w:val="24"/>
  </w:num>
  <w:num w:numId="40">
    <w:abstractNumId w:val="31"/>
  </w:num>
  <w:num w:numId="41">
    <w:abstractNumId w:val="45"/>
  </w:num>
  <w:num w:numId="42">
    <w:abstractNumId w:val="43"/>
  </w:num>
  <w:num w:numId="43">
    <w:abstractNumId w:val="1"/>
  </w:num>
  <w:num w:numId="44">
    <w:abstractNumId w:val="21"/>
  </w:num>
  <w:num w:numId="45">
    <w:abstractNumId w:val="40"/>
  </w:num>
  <w:num w:numId="46">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E7B"/>
    <w:rsid w:val="0000056F"/>
    <w:rsid w:val="0000072A"/>
    <w:rsid w:val="0000095F"/>
    <w:rsid w:val="00001052"/>
    <w:rsid w:val="000011FC"/>
    <w:rsid w:val="00001AD7"/>
    <w:rsid w:val="00002374"/>
    <w:rsid w:val="0000370B"/>
    <w:rsid w:val="0000390C"/>
    <w:rsid w:val="000127CC"/>
    <w:rsid w:val="000142A3"/>
    <w:rsid w:val="000152AC"/>
    <w:rsid w:val="000160B7"/>
    <w:rsid w:val="00016219"/>
    <w:rsid w:val="00017136"/>
    <w:rsid w:val="00017760"/>
    <w:rsid w:val="00020505"/>
    <w:rsid w:val="00020BF5"/>
    <w:rsid w:val="0002124A"/>
    <w:rsid w:val="000218E4"/>
    <w:rsid w:val="00021CBD"/>
    <w:rsid w:val="000223D1"/>
    <w:rsid w:val="0002247E"/>
    <w:rsid w:val="00023AC0"/>
    <w:rsid w:val="00024445"/>
    <w:rsid w:val="00024E14"/>
    <w:rsid w:val="000263E9"/>
    <w:rsid w:val="0002753C"/>
    <w:rsid w:val="00031757"/>
    <w:rsid w:val="0003182F"/>
    <w:rsid w:val="000329D1"/>
    <w:rsid w:val="00032BBB"/>
    <w:rsid w:val="00032D99"/>
    <w:rsid w:val="00033D9F"/>
    <w:rsid w:val="00034323"/>
    <w:rsid w:val="00034940"/>
    <w:rsid w:val="000349DC"/>
    <w:rsid w:val="00035114"/>
    <w:rsid w:val="000351AC"/>
    <w:rsid w:val="00035A55"/>
    <w:rsid w:val="00035BDA"/>
    <w:rsid w:val="00036211"/>
    <w:rsid w:val="00036B02"/>
    <w:rsid w:val="00037874"/>
    <w:rsid w:val="00037F34"/>
    <w:rsid w:val="00040971"/>
    <w:rsid w:val="00041642"/>
    <w:rsid w:val="000418D6"/>
    <w:rsid w:val="00041A5B"/>
    <w:rsid w:val="00041ED4"/>
    <w:rsid w:val="00042326"/>
    <w:rsid w:val="00043276"/>
    <w:rsid w:val="0004348B"/>
    <w:rsid w:val="00044D39"/>
    <w:rsid w:val="00044D4C"/>
    <w:rsid w:val="0004522C"/>
    <w:rsid w:val="00045456"/>
    <w:rsid w:val="00046571"/>
    <w:rsid w:val="00046E6E"/>
    <w:rsid w:val="00047B0C"/>
    <w:rsid w:val="00047B6B"/>
    <w:rsid w:val="00052492"/>
    <w:rsid w:val="000524ED"/>
    <w:rsid w:val="00052E76"/>
    <w:rsid w:val="0005453D"/>
    <w:rsid w:val="000555AB"/>
    <w:rsid w:val="00055894"/>
    <w:rsid w:val="000558F2"/>
    <w:rsid w:val="00056860"/>
    <w:rsid w:val="00056D0B"/>
    <w:rsid w:val="0005724A"/>
    <w:rsid w:val="00061DC7"/>
    <w:rsid w:val="000621C0"/>
    <w:rsid w:val="00062618"/>
    <w:rsid w:val="00062820"/>
    <w:rsid w:val="00062823"/>
    <w:rsid w:val="00064CCF"/>
    <w:rsid w:val="00065301"/>
    <w:rsid w:val="000653ED"/>
    <w:rsid w:val="000666E8"/>
    <w:rsid w:val="00070CF7"/>
    <w:rsid w:val="00072083"/>
    <w:rsid w:val="00073550"/>
    <w:rsid w:val="00073856"/>
    <w:rsid w:val="00073ADE"/>
    <w:rsid w:val="000740A2"/>
    <w:rsid w:val="00074A57"/>
    <w:rsid w:val="00074C19"/>
    <w:rsid w:val="0007546C"/>
    <w:rsid w:val="00075E57"/>
    <w:rsid w:val="00077422"/>
    <w:rsid w:val="0007777D"/>
    <w:rsid w:val="00077A0F"/>
    <w:rsid w:val="000806B9"/>
    <w:rsid w:val="00081D60"/>
    <w:rsid w:val="00083C56"/>
    <w:rsid w:val="00085797"/>
    <w:rsid w:val="00086C7D"/>
    <w:rsid w:val="00086D52"/>
    <w:rsid w:val="00086EBC"/>
    <w:rsid w:val="0008730A"/>
    <w:rsid w:val="0009010E"/>
    <w:rsid w:val="000901B0"/>
    <w:rsid w:val="0009179E"/>
    <w:rsid w:val="000918D2"/>
    <w:rsid w:val="000930AB"/>
    <w:rsid w:val="00093502"/>
    <w:rsid w:val="0009399E"/>
    <w:rsid w:val="00093A23"/>
    <w:rsid w:val="00093C1D"/>
    <w:rsid w:val="0009498B"/>
    <w:rsid w:val="00094BDE"/>
    <w:rsid w:val="000953D7"/>
    <w:rsid w:val="00095532"/>
    <w:rsid w:val="0009571E"/>
    <w:rsid w:val="00095EB2"/>
    <w:rsid w:val="0009740E"/>
    <w:rsid w:val="000A0AF5"/>
    <w:rsid w:val="000A12F9"/>
    <w:rsid w:val="000A1742"/>
    <w:rsid w:val="000A21E9"/>
    <w:rsid w:val="000A3B0D"/>
    <w:rsid w:val="000A44BF"/>
    <w:rsid w:val="000A45D2"/>
    <w:rsid w:val="000A4F94"/>
    <w:rsid w:val="000A6645"/>
    <w:rsid w:val="000A682E"/>
    <w:rsid w:val="000A70B3"/>
    <w:rsid w:val="000A7476"/>
    <w:rsid w:val="000A7F56"/>
    <w:rsid w:val="000B04E1"/>
    <w:rsid w:val="000B0EC5"/>
    <w:rsid w:val="000B22B7"/>
    <w:rsid w:val="000B26B7"/>
    <w:rsid w:val="000B45D8"/>
    <w:rsid w:val="000B4EB8"/>
    <w:rsid w:val="000B5957"/>
    <w:rsid w:val="000B5C91"/>
    <w:rsid w:val="000B6223"/>
    <w:rsid w:val="000B6711"/>
    <w:rsid w:val="000B756C"/>
    <w:rsid w:val="000C0262"/>
    <w:rsid w:val="000C144B"/>
    <w:rsid w:val="000C19F2"/>
    <w:rsid w:val="000C2841"/>
    <w:rsid w:val="000C5075"/>
    <w:rsid w:val="000C5AE5"/>
    <w:rsid w:val="000C5B5E"/>
    <w:rsid w:val="000C5E2C"/>
    <w:rsid w:val="000C5EF7"/>
    <w:rsid w:val="000C68FB"/>
    <w:rsid w:val="000C6DBA"/>
    <w:rsid w:val="000C6EBD"/>
    <w:rsid w:val="000C7222"/>
    <w:rsid w:val="000C7DEC"/>
    <w:rsid w:val="000D127C"/>
    <w:rsid w:val="000D1C90"/>
    <w:rsid w:val="000D326D"/>
    <w:rsid w:val="000D38DE"/>
    <w:rsid w:val="000D3F3D"/>
    <w:rsid w:val="000D40D0"/>
    <w:rsid w:val="000D4C34"/>
    <w:rsid w:val="000D4CBA"/>
    <w:rsid w:val="000D5206"/>
    <w:rsid w:val="000D65D2"/>
    <w:rsid w:val="000D684E"/>
    <w:rsid w:val="000D6B5B"/>
    <w:rsid w:val="000D7EE1"/>
    <w:rsid w:val="000E02A7"/>
    <w:rsid w:val="000E1374"/>
    <w:rsid w:val="000E241D"/>
    <w:rsid w:val="000E242A"/>
    <w:rsid w:val="000E2D43"/>
    <w:rsid w:val="000E2EC9"/>
    <w:rsid w:val="000E4035"/>
    <w:rsid w:val="000E45A2"/>
    <w:rsid w:val="000E50F5"/>
    <w:rsid w:val="000E5563"/>
    <w:rsid w:val="000E670C"/>
    <w:rsid w:val="000E7258"/>
    <w:rsid w:val="000E794C"/>
    <w:rsid w:val="000E7A94"/>
    <w:rsid w:val="000F0685"/>
    <w:rsid w:val="000F0AFD"/>
    <w:rsid w:val="000F13F7"/>
    <w:rsid w:val="000F1FD8"/>
    <w:rsid w:val="000F2EBF"/>
    <w:rsid w:val="000F377F"/>
    <w:rsid w:val="000F4A33"/>
    <w:rsid w:val="000F4E1F"/>
    <w:rsid w:val="000F54A9"/>
    <w:rsid w:val="000F5BB4"/>
    <w:rsid w:val="000F6067"/>
    <w:rsid w:val="000F6417"/>
    <w:rsid w:val="000F66DD"/>
    <w:rsid w:val="000F6902"/>
    <w:rsid w:val="000F7AAB"/>
    <w:rsid w:val="001005E5"/>
    <w:rsid w:val="00100786"/>
    <w:rsid w:val="001009D2"/>
    <w:rsid w:val="00101492"/>
    <w:rsid w:val="00102893"/>
    <w:rsid w:val="00102B5E"/>
    <w:rsid w:val="0010323A"/>
    <w:rsid w:val="00103FFC"/>
    <w:rsid w:val="00104BA7"/>
    <w:rsid w:val="00105543"/>
    <w:rsid w:val="001055B9"/>
    <w:rsid w:val="00106033"/>
    <w:rsid w:val="00106B33"/>
    <w:rsid w:val="001071B4"/>
    <w:rsid w:val="00107D2E"/>
    <w:rsid w:val="001109CD"/>
    <w:rsid w:val="00110CCF"/>
    <w:rsid w:val="00111C2C"/>
    <w:rsid w:val="001125AD"/>
    <w:rsid w:val="0011473B"/>
    <w:rsid w:val="00114829"/>
    <w:rsid w:val="0011489B"/>
    <w:rsid w:val="00114B6A"/>
    <w:rsid w:val="00115340"/>
    <w:rsid w:val="00122FF5"/>
    <w:rsid w:val="001237F0"/>
    <w:rsid w:val="00124B96"/>
    <w:rsid w:val="00124F6E"/>
    <w:rsid w:val="00125008"/>
    <w:rsid w:val="00126658"/>
    <w:rsid w:val="00127D0F"/>
    <w:rsid w:val="00130839"/>
    <w:rsid w:val="00130F3C"/>
    <w:rsid w:val="00131144"/>
    <w:rsid w:val="00131372"/>
    <w:rsid w:val="001317E6"/>
    <w:rsid w:val="00131FAF"/>
    <w:rsid w:val="00132AD7"/>
    <w:rsid w:val="0013392B"/>
    <w:rsid w:val="00134B3B"/>
    <w:rsid w:val="0013693B"/>
    <w:rsid w:val="00137CA9"/>
    <w:rsid w:val="00140578"/>
    <w:rsid w:val="001407DF"/>
    <w:rsid w:val="001409FD"/>
    <w:rsid w:val="00141EE9"/>
    <w:rsid w:val="00142159"/>
    <w:rsid w:val="001423B0"/>
    <w:rsid w:val="00143AB6"/>
    <w:rsid w:val="00143B34"/>
    <w:rsid w:val="00143DCF"/>
    <w:rsid w:val="00144667"/>
    <w:rsid w:val="00144DF3"/>
    <w:rsid w:val="001450CD"/>
    <w:rsid w:val="001454CE"/>
    <w:rsid w:val="001455D2"/>
    <w:rsid w:val="00145970"/>
    <w:rsid w:val="00145B61"/>
    <w:rsid w:val="00147010"/>
    <w:rsid w:val="00147CC7"/>
    <w:rsid w:val="00150C99"/>
    <w:rsid w:val="00151FCA"/>
    <w:rsid w:val="00152E25"/>
    <w:rsid w:val="00154CC9"/>
    <w:rsid w:val="00155E97"/>
    <w:rsid w:val="00156152"/>
    <w:rsid w:val="00156A21"/>
    <w:rsid w:val="00156A64"/>
    <w:rsid w:val="00156DEE"/>
    <w:rsid w:val="00156F0D"/>
    <w:rsid w:val="00157777"/>
    <w:rsid w:val="00160D09"/>
    <w:rsid w:val="001612D6"/>
    <w:rsid w:val="00162189"/>
    <w:rsid w:val="00163415"/>
    <w:rsid w:val="0016401C"/>
    <w:rsid w:val="0016418F"/>
    <w:rsid w:val="001647FB"/>
    <w:rsid w:val="00164C52"/>
    <w:rsid w:val="00164EBC"/>
    <w:rsid w:val="00165FEE"/>
    <w:rsid w:val="00166336"/>
    <w:rsid w:val="00167B33"/>
    <w:rsid w:val="00167CA8"/>
    <w:rsid w:val="001709E9"/>
    <w:rsid w:val="00170BD1"/>
    <w:rsid w:val="0017112A"/>
    <w:rsid w:val="0017243F"/>
    <w:rsid w:val="0017269B"/>
    <w:rsid w:val="00172B76"/>
    <w:rsid w:val="0017408B"/>
    <w:rsid w:val="00174990"/>
    <w:rsid w:val="00175047"/>
    <w:rsid w:val="001776AD"/>
    <w:rsid w:val="00177A5D"/>
    <w:rsid w:val="00177E67"/>
    <w:rsid w:val="0018029F"/>
    <w:rsid w:val="00181087"/>
    <w:rsid w:val="00181E70"/>
    <w:rsid w:val="00182977"/>
    <w:rsid w:val="001837EA"/>
    <w:rsid w:val="0018405C"/>
    <w:rsid w:val="0018460C"/>
    <w:rsid w:val="001847CE"/>
    <w:rsid w:val="00184BC1"/>
    <w:rsid w:val="00184D1A"/>
    <w:rsid w:val="00184D36"/>
    <w:rsid w:val="00185658"/>
    <w:rsid w:val="0018606A"/>
    <w:rsid w:val="00187287"/>
    <w:rsid w:val="00187326"/>
    <w:rsid w:val="0019006B"/>
    <w:rsid w:val="00190C93"/>
    <w:rsid w:val="00191266"/>
    <w:rsid w:val="001922C6"/>
    <w:rsid w:val="00192609"/>
    <w:rsid w:val="00194009"/>
    <w:rsid w:val="00194379"/>
    <w:rsid w:val="0019491D"/>
    <w:rsid w:val="00194ACA"/>
    <w:rsid w:val="001962DB"/>
    <w:rsid w:val="0019680E"/>
    <w:rsid w:val="001A02B1"/>
    <w:rsid w:val="001A0627"/>
    <w:rsid w:val="001A0CE2"/>
    <w:rsid w:val="001A10AE"/>
    <w:rsid w:val="001A163F"/>
    <w:rsid w:val="001A24E0"/>
    <w:rsid w:val="001A28B8"/>
    <w:rsid w:val="001A2AE9"/>
    <w:rsid w:val="001A2B1C"/>
    <w:rsid w:val="001A3892"/>
    <w:rsid w:val="001A3D26"/>
    <w:rsid w:val="001A4D69"/>
    <w:rsid w:val="001A4FB7"/>
    <w:rsid w:val="001A5ABA"/>
    <w:rsid w:val="001A7223"/>
    <w:rsid w:val="001A7F44"/>
    <w:rsid w:val="001B00BE"/>
    <w:rsid w:val="001B1147"/>
    <w:rsid w:val="001B11C7"/>
    <w:rsid w:val="001B161C"/>
    <w:rsid w:val="001B1699"/>
    <w:rsid w:val="001B1C77"/>
    <w:rsid w:val="001B1EB5"/>
    <w:rsid w:val="001B1FEA"/>
    <w:rsid w:val="001B384B"/>
    <w:rsid w:val="001B44F5"/>
    <w:rsid w:val="001B46F2"/>
    <w:rsid w:val="001B5E26"/>
    <w:rsid w:val="001B600B"/>
    <w:rsid w:val="001B6284"/>
    <w:rsid w:val="001B6926"/>
    <w:rsid w:val="001B73D0"/>
    <w:rsid w:val="001B7771"/>
    <w:rsid w:val="001B7C87"/>
    <w:rsid w:val="001B7EBC"/>
    <w:rsid w:val="001C039C"/>
    <w:rsid w:val="001C0657"/>
    <w:rsid w:val="001C19DE"/>
    <w:rsid w:val="001C24C7"/>
    <w:rsid w:val="001C2D66"/>
    <w:rsid w:val="001C2F0A"/>
    <w:rsid w:val="001C2FD4"/>
    <w:rsid w:val="001C3A89"/>
    <w:rsid w:val="001C3C36"/>
    <w:rsid w:val="001C3D18"/>
    <w:rsid w:val="001C4A6F"/>
    <w:rsid w:val="001C4AEE"/>
    <w:rsid w:val="001C58D0"/>
    <w:rsid w:val="001C5F44"/>
    <w:rsid w:val="001C6A16"/>
    <w:rsid w:val="001C719B"/>
    <w:rsid w:val="001C75BD"/>
    <w:rsid w:val="001C7DDA"/>
    <w:rsid w:val="001D0BF7"/>
    <w:rsid w:val="001D155A"/>
    <w:rsid w:val="001D342D"/>
    <w:rsid w:val="001D38B2"/>
    <w:rsid w:val="001D4D86"/>
    <w:rsid w:val="001D4E32"/>
    <w:rsid w:val="001D531A"/>
    <w:rsid w:val="001D5398"/>
    <w:rsid w:val="001D574B"/>
    <w:rsid w:val="001D60BA"/>
    <w:rsid w:val="001D65D2"/>
    <w:rsid w:val="001D6673"/>
    <w:rsid w:val="001D7535"/>
    <w:rsid w:val="001D7F19"/>
    <w:rsid w:val="001E0B09"/>
    <w:rsid w:val="001E1EB2"/>
    <w:rsid w:val="001E2CE2"/>
    <w:rsid w:val="001E332D"/>
    <w:rsid w:val="001E41E4"/>
    <w:rsid w:val="001E49FA"/>
    <w:rsid w:val="001E4AE5"/>
    <w:rsid w:val="001E4D39"/>
    <w:rsid w:val="001E4F51"/>
    <w:rsid w:val="001E527E"/>
    <w:rsid w:val="001E536C"/>
    <w:rsid w:val="001E5C23"/>
    <w:rsid w:val="001E6A80"/>
    <w:rsid w:val="001E7150"/>
    <w:rsid w:val="001E7694"/>
    <w:rsid w:val="001E7704"/>
    <w:rsid w:val="001E78FA"/>
    <w:rsid w:val="001F0978"/>
    <w:rsid w:val="001F159A"/>
    <w:rsid w:val="001F1CF0"/>
    <w:rsid w:val="001F2557"/>
    <w:rsid w:val="001F2A1C"/>
    <w:rsid w:val="001F3512"/>
    <w:rsid w:val="001F470A"/>
    <w:rsid w:val="001F6245"/>
    <w:rsid w:val="001F66BD"/>
    <w:rsid w:val="001F684E"/>
    <w:rsid w:val="001F7384"/>
    <w:rsid w:val="0020028F"/>
    <w:rsid w:val="00200F22"/>
    <w:rsid w:val="0020182C"/>
    <w:rsid w:val="0020342A"/>
    <w:rsid w:val="002044DE"/>
    <w:rsid w:val="00205304"/>
    <w:rsid w:val="00205D63"/>
    <w:rsid w:val="00205F8A"/>
    <w:rsid w:val="00206C8F"/>
    <w:rsid w:val="0020733B"/>
    <w:rsid w:val="00210C0F"/>
    <w:rsid w:val="00210FBD"/>
    <w:rsid w:val="00211854"/>
    <w:rsid w:val="00212933"/>
    <w:rsid w:val="002147CE"/>
    <w:rsid w:val="00214D0C"/>
    <w:rsid w:val="00214D98"/>
    <w:rsid w:val="0021542E"/>
    <w:rsid w:val="00215AE4"/>
    <w:rsid w:val="00215E83"/>
    <w:rsid w:val="00216189"/>
    <w:rsid w:val="002168B4"/>
    <w:rsid w:val="002170F0"/>
    <w:rsid w:val="002174CE"/>
    <w:rsid w:val="002176DC"/>
    <w:rsid w:val="00217CAA"/>
    <w:rsid w:val="0022061D"/>
    <w:rsid w:val="0022073D"/>
    <w:rsid w:val="00220BE1"/>
    <w:rsid w:val="00220D96"/>
    <w:rsid w:val="00222722"/>
    <w:rsid w:val="00222DC3"/>
    <w:rsid w:val="00224FC9"/>
    <w:rsid w:val="00225788"/>
    <w:rsid w:val="002268CE"/>
    <w:rsid w:val="00226C01"/>
    <w:rsid w:val="00227D31"/>
    <w:rsid w:val="00230BFB"/>
    <w:rsid w:val="00230E41"/>
    <w:rsid w:val="00231C1B"/>
    <w:rsid w:val="00231F92"/>
    <w:rsid w:val="00232292"/>
    <w:rsid w:val="002344B8"/>
    <w:rsid w:val="0023522C"/>
    <w:rsid w:val="002362D3"/>
    <w:rsid w:val="00237126"/>
    <w:rsid w:val="002377C1"/>
    <w:rsid w:val="00237822"/>
    <w:rsid w:val="0024026B"/>
    <w:rsid w:val="002411F1"/>
    <w:rsid w:val="00241DFF"/>
    <w:rsid w:val="00243642"/>
    <w:rsid w:val="002450C6"/>
    <w:rsid w:val="00245A88"/>
    <w:rsid w:val="00245C83"/>
    <w:rsid w:val="00245D3E"/>
    <w:rsid w:val="002468B5"/>
    <w:rsid w:val="00247434"/>
    <w:rsid w:val="00247B04"/>
    <w:rsid w:val="0025012E"/>
    <w:rsid w:val="00251599"/>
    <w:rsid w:val="00251FCA"/>
    <w:rsid w:val="00252865"/>
    <w:rsid w:val="00252A56"/>
    <w:rsid w:val="0025341B"/>
    <w:rsid w:val="002544B0"/>
    <w:rsid w:val="00255815"/>
    <w:rsid w:val="00255A71"/>
    <w:rsid w:val="0025720A"/>
    <w:rsid w:val="00262CCF"/>
    <w:rsid w:val="00262E48"/>
    <w:rsid w:val="00262E56"/>
    <w:rsid w:val="00263F15"/>
    <w:rsid w:val="002647BC"/>
    <w:rsid w:val="002666E3"/>
    <w:rsid w:val="002671A8"/>
    <w:rsid w:val="002706CD"/>
    <w:rsid w:val="00270F26"/>
    <w:rsid w:val="0027218B"/>
    <w:rsid w:val="00272C62"/>
    <w:rsid w:val="0027348C"/>
    <w:rsid w:val="00273CAB"/>
    <w:rsid w:val="00275BC9"/>
    <w:rsid w:val="00276160"/>
    <w:rsid w:val="00276627"/>
    <w:rsid w:val="00276B94"/>
    <w:rsid w:val="00277152"/>
    <w:rsid w:val="002774A5"/>
    <w:rsid w:val="00277D6D"/>
    <w:rsid w:val="00277F9B"/>
    <w:rsid w:val="00277FF2"/>
    <w:rsid w:val="00280461"/>
    <w:rsid w:val="00283630"/>
    <w:rsid w:val="00283B43"/>
    <w:rsid w:val="00284354"/>
    <w:rsid w:val="00284548"/>
    <w:rsid w:val="00284D2B"/>
    <w:rsid w:val="00284F1E"/>
    <w:rsid w:val="0028593C"/>
    <w:rsid w:val="00286B68"/>
    <w:rsid w:val="00286BD7"/>
    <w:rsid w:val="00287A77"/>
    <w:rsid w:val="0029025A"/>
    <w:rsid w:val="00290A9A"/>
    <w:rsid w:val="0029247D"/>
    <w:rsid w:val="002945AB"/>
    <w:rsid w:val="00294C57"/>
    <w:rsid w:val="00294E0F"/>
    <w:rsid w:val="00296955"/>
    <w:rsid w:val="00296F12"/>
    <w:rsid w:val="0029758A"/>
    <w:rsid w:val="00297D66"/>
    <w:rsid w:val="002A1AE1"/>
    <w:rsid w:val="002A22AC"/>
    <w:rsid w:val="002A2C59"/>
    <w:rsid w:val="002A331F"/>
    <w:rsid w:val="002A345F"/>
    <w:rsid w:val="002A3E4C"/>
    <w:rsid w:val="002A40DD"/>
    <w:rsid w:val="002A4BB0"/>
    <w:rsid w:val="002A4E24"/>
    <w:rsid w:val="002A53E8"/>
    <w:rsid w:val="002A73B8"/>
    <w:rsid w:val="002A74A4"/>
    <w:rsid w:val="002A7801"/>
    <w:rsid w:val="002B0CB2"/>
    <w:rsid w:val="002B1820"/>
    <w:rsid w:val="002B21A4"/>
    <w:rsid w:val="002B2861"/>
    <w:rsid w:val="002B34F4"/>
    <w:rsid w:val="002B370F"/>
    <w:rsid w:val="002B3905"/>
    <w:rsid w:val="002B3EB8"/>
    <w:rsid w:val="002B4213"/>
    <w:rsid w:val="002B453B"/>
    <w:rsid w:val="002B4EDA"/>
    <w:rsid w:val="002B694A"/>
    <w:rsid w:val="002B6F4F"/>
    <w:rsid w:val="002B7EB5"/>
    <w:rsid w:val="002C021B"/>
    <w:rsid w:val="002C047F"/>
    <w:rsid w:val="002C273A"/>
    <w:rsid w:val="002C2CE2"/>
    <w:rsid w:val="002C3B97"/>
    <w:rsid w:val="002C3E9B"/>
    <w:rsid w:val="002C4D5B"/>
    <w:rsid w:val="002C50A3"/>
    <w:rsid w:val="002C552B"/>
    <w:rsid w:val="002C55D2"/>
    <w:rsid w:val="002C56D2"/>
    <w:rsid w:val="002C5C80"/>
    <w:rsid w:val="002C5F96"/>
    <w:rsid w:val="002C63C5"/>
    <w:rsid w:val="002C7602"/>
    <w:rsid w:val="002C7A4A"/>
    <w:rsid w:val="002D00F9"/>
    <w:rsid w:val="002D1036"/>
    <w:rsid w:val="002D10B2"/>
    <w:rsid w:val="002D1AEE"/>
    <w:rsid w:val="002D2608"/>
    <w:rsid w:val="002D27BC"/>
    <w:rsid w:val="002D2DDB"/>
    <w:rsid w:val="002D43BF"/>
    <w:rsid w:val="002D4C1A"/>
    <w:rsid w:val="002D501E"/>
    <w:rsid w:val="002D575E"/>
    <w:rsid w:val="002D5F29"/>
    <w:rsid w:val="002D6823"/>
    <w:rsid w:val="002D6D3F"/>
    <w:rsid w:val="002D7B65"/>
    <w:rsid w:val="002D7C8C"/>
    <w:rsid w:val="002E0A23"/>
    <w:rsid w:val="002E1500"/>
    <w:rsid w:val="002E154E"/>
    <w:rsid w:val="002E21C5"/>
    <w:rsid w:val="002E45D5"/>
    <w:rsid w:val="002E4B85"/>
    <w:rsid w:val="002E5B70"/>
    <w:rsid w:val="002E5C31"/>
    <w:rsid w:val="002E68C6"/>
    <w:rsid w:val="002E6E04"/>
    <w:rsid w:val="002E7A4A"/>
    <w:rsid w:val="002E7E9F"/>
    <w:rsid w:val="002F07CD"/>
    <w:rsid w:val="002F0A75"/>
    <w:rsid w:val="002F0F97"/>
    <w:rsid w:val="002F15F3"/>
    <w:rsid w:val="002F1E52"/>
    <w:rsid w:val="002F2408"/>
    <w:rsid w:val="002F2B28"/>
    <w:rsid w:val="002F4348"/>
    <w:rsid w:val="002F519C"/>
    <w:rsid w:val="002F57CB"/>
    <w:rsid w:val="002F5960"/>
    <w:rsid w:val="002F5C07"/>
    <w:rsid w:val="002F7138"/>
    <w:rsid w:val="002F7A01"/>
    <w:rsid w:val="00300340"/>
    <w:rsid w:val="00300E3A"/>
    <w:rsid w:val="00301D1E"/>
    <w:rsid w:val="003034E0"/>
    <w:rsid w:val="00304D39"/>
    <w:rsid w:val="00305158"/>
    <w:rsid w:val="003073C9"/>
    <w:rsid w:val="003100ED"/>
    <w:rsid w:val="00310830"/>
    <w:rsid w:val="00310C70"/>
    <w:rsid w:val="00311FCC"/>
    <w:rsid w:val="003126E2"/>
    <w:rsid w:val="00312920"/>
    <w:rsid w:val="00312F0D"/>
    <w:rsid w:val="00313192"/>
    <w:rsid w:val="00313E88"/>
    <w:rsid w:val="00314976"/>
    <w:rsid w:val="00315763"/>
    <w:rsid w:val="00316956"/>
    <w:rsid w:val="00316F29"/>
    <w:rsid w:val="003216C1"/>
    <w:rsid w:val="00321B96"/>
    <w:rsid w:val="00321C3B"/>
    <w:rsid w:val="003229C3"/>
    <w:rsid w:val="00322A72"/>
    <w:rsid w:val="0032339B"/>
    <w:rsid w:val="00323739"/>
    <w:rsid w:val="00323FB5"/>
    <w:rsid w:val="00324729"/>
    <w:rsid w:val="0032494A"/>
    <w:rsid w:val="00327573"/>
    <w:rsid w:val="003300F0"/>
    <w:rsid w:val="0033083B"/>
    <w:rsid w:val="00330A62"/>
    <w:rsid w:val="00330EF1"/>
    <w:rsid w:val="00331654"/>
    <w:rsid w:val="00331A12"/>
    <w:rsid w:val="003329AB"/>
    <w:rsid w:val="00332AFE"/>
    <w:rsid w:val="00332B4C"/>
    <w:rsid w:val="00332CDA"/>
    <w:rsid w:val="003333C3"/>
    <w:rsid w:val="00333433"/>
    <w:rsid w:val="0033363C"/>
    <w:rsid w:val="003336C4"/>
    <w:rsid w:val="0033404E"/>
    <w:rsid w:val="003348AC"/>
    <w:rsid w:val="00334972"/>
    <w:rsid w:val="00335709"/>
    <w:rsid w:val="00335A4F"/>
    <w:rsid w:val="003361E8"/>
    <w:rsid w:val="0033672C"/>
    <w:rsid w:val="00336AD6"/>
    <w:rsid w:val="0034035B"/>
    <w:rsid w:val="003404AE"/>
    <w:rsid w:val="00340593"/>
    <w:rsid w:val="00340C3F"/>
    <w:rsid w:val="00340E29"/>
    <w:rsid w:val="00341964"/>
    <w:rsid w:val="0034247B"/>
    <w:rsid w:val="003426B2"/>
    <w:rsid w:val="0034289E"/>
    <w:rsid w:val="00344349"/>
    <w:rsid w:val="0034474B"/>
    <w:rsid w:val="003449EE"/>
    <w:rsid w:val="00344EBA"/>
    <w:rsid w:val="0034538B"/>
    <w:rsid w:val="00346F3C"/>
    <w:rsid w:val="00346FB0"/>
    <w:rsid w:val="00350AD9"/>
    <w:rsid w:val="00350D2F"/>
    <w:rsid w:val="00350E26"/>
    <w:rsid w:val="003520E7"/>
    <w:rsid w:val="00352DF2"/>
    <w:rsid w:val="00352F7C"/>
    <w:rsid w:val="003532F6"/>
    <w:rsid w:val="00353338"/>
    <w:rsid w:val="00353556"/>
    <w:rsid w:val="00353678"/>
    <w:rsid w:val="00353C2E"/>
    <w:rsid w:val="00354ACF"/>
    <w:rsid w:val="00354BA9"/>
    <w:rsid w:val="00355C8F"/>
    <w:rsid w:val="00355CAD"/>
    <w:rsid w:val="00356F92"/>
    <w:rsid w:val="00357714"/>
    <w:rsid w:val="0035785D"/>
    <w:rsid w:val="003600BE"/>
    <w:rsid w:val="003605C3"/>
    <w:rsid w:val="00361D6C"/>
    <w:rsid w:val="0036237E"/>
    <w:rsid w:val="003624C7"/>
    <w:rsid w:val="00363CD3"/>
    <w:rsid w:val="0036409D"/>
    <w:rsid w:val="00364553"/>
    <w:rsid w:val="003647C4"/>
    <w:rsid w:val="0036488A"/>
    <w:rsid w:val="0036621D"/>
    <w:rsid w:val="00367330"/>
    <w:rsid w:val="003677C5"/>
    <w:rsid w:val="00367AD6"/>
    <w:rsid w:val="00370292"/>
    <w:rsid w:val="003716D7"/>
    <w:rsid w:val="00372139"/>
    <w:rsid w:val="003735D6"/>
    <w:rsid w:val="00373AF1"/>
    <w:rsid w:val="0037418E"/>
    <w:rsid w:val="00374C51"/>
    <w:rsid w:val="00374F59"/>
    <w:rsid w:val="003756DD"/>
    <w:rsid w:val="003769D2"/>
    <w:rsid w:val="00376C3E"/>
    <w:rsid w:val="003773B3"/>
    <w:rsid w:val="0037757D"/>
    <w:rsid w:val="0037783E"/>
    <w:rsid w:val="00380BB8"/>
    <w:rsid w:val="00381173"/>
    <w:rsid w:val="0038538C"/>
    <w:rsid w:val="00385A86"/>
    <w:rsid w:val="00385BEE"/>
    <w:rsid w:val="00385C55"/>
    <w:rsid w:val="003864CE"/>
    <w:rsid w:val="0038689B"/>
    <w:rsid w:val="00386F6A"/>
    <w:rsid w:val="0038731D"/>
    <w:rsid w:val="00387868"/>
    <w:rsid w:val="00387A37"/>
    <w:rsid w:val="003902B8"/>
    <w:rsid w:val="00390722"/>
    <w:rsid w:val="00391411"/>
    <w:rsid w:val="00392211"/>
    <w:rsid w:val="00392882"/>
    <w:rsid w:val="003928F5"/>
    <w:rsid w:val="00393116"/>
    <w:rsid w:val="0039324B"/>
    <w:rsid w:val="00393498"/>
    <w:rsid w:val="003946C0"/>
    <w:rsid w:val="003947FC"/>
    <w:rsid w:val="0039487A"/>
    <w:rsid w:val="00395F46"/>
    <w:rsid w:val="003960A2"/>
    <w:rsid w:val="00396615"/>
    <w:rsid w:val="003967AB"/>
    <w:rsid w:val="00397438"/>
    <w:rsid w:val="003A069F"/>
    <w:rsid w:val="003A1159"/>
    <w:rsid w:val="003A4895"/>
    <w:rsid w:val="003A5640"/>
    <w:rsid w:val="003A75BE"/>
    <w:rsid w:val="003A76B0"/>
    <w:rsid w:val="003B011F"/>
    <w:rsid w:val="003B157F"/>
    <w:rsid w:val="003B1E32"/>
    <w:rsid w:val="003B2129"/>
    <w:rsid w:val="003B313B"/>
    <w:rsid w:val="003B4B79"/>
    <w:rsid w:val="003B51BB"/>
    <w:rsid w:val="003B5918"/>
    <w:rsid w:val="003B6F0E"/>
    <w:rsid w:val="003B723E"/>
    <w:rsid w:val="003B749D"/>
    <w:rsid w:val="003B7CA0"/>
    <w:rsid w:val="003C0FED"/>
    <w:rsid w:val="003C3451"/>
    <w:rsid w:val="003C4303"/>
    <w:rsid w:val="003C43D0"/>
    <w:rsid w:val="003C516A"/>
    <w:rsid w:val="003C5F7A"/>
    <w:rsid w:val="003C624C"/>
    <w:rsid w:val="003C662A"/>
    <w:rsid w:val="003C6797"/>
    <w:rsid w:val="003C6BE3"/>
    <w:rsid w:val="003D0548"/>
    <w:rsid w:val="003D1151"/>
    <w:rsid w:val="003D1ACD"/>
    <w:rsid w:val="003D2D72"/>
    <w:rsid w:val="003D3C8F"/>
    <w:rsid w:val="003D4047"/>
    <w:rsid w:val="003D57B7"/>
    <w:rsid w:val="003D6057"/>
    <w:rsid w:val="003D6B64"/>
    <w:rsid w:val="003D6D74"/>
    <w:rsid w:val="003D6F80"/>
    <w:rsid w:val="003D7B83"/>
    <w:rsid w:val="003D7B9F"/>
    <w:rsid w:val="003D7FCD"/>
    <w:rsid w:val="003E0585"/>
    <w:rsid w:val="003E129C"/>
    <w:rsid w:val="003E16CE"/>
    <w:rsid w:val="003E2701"/>
    <w:rsid w:val="003E2983"/>
    <w:rsid w:val="003E2CCF"/>
    <w:rsid w:val="003E3B5C"/>
    <w:rsid w:val="003E55EF"/>
    <w:rsid w:val="003E5AEA"/>
    <w:rsid w:val="003E5DA0"/>
    <w:rsid w:val="003E5E4F"/>
    <w:rsid w:val="003E6B5E"/>
    <w:rsid w:val="003E74BD"/>
    <w:rsid w:val="003F08B9"/>
    <w:rsid w:val="003F1D3C"/>
    <w:rsid w:val="003F1D3E"/>
    <w:rsid w:val="003F3213"/>
    <w:rsid w:val="003F326E"/>
    <w:rsid w:val="003F367D"/>
    <w:rsid w:val="003F3EF1"/>
    <w:rsid w:val="003F69EE"/>
    <w:rsid w:val="003F6A36"/>
    <w:rsid w:val="003F6A49"/>
    <w:rsid w:val="003F7520"/>
    <w:rsid w:val="003F7C31"/>
    <w:rsid w:val="0040009E"/>
    <w:rsid w:val="00400492"/>
    <w:rsid w:val="004004AA"/>
    <w:rsid w:val="0040156D"/>
    <w:rsid w:val="00401667"/>
    <w:rsid w:val="00401F79"/>
    <w:rsid w:val="004037D5"/>
    <w:rsid w:val="00404E54"/>
    <w:rsid w:val="0040566A"/>
    <w:rsid w:val="00405ADD"/>
    <w:rsid w:val="0040636C"/>
    <w:rsid w:val="00406ABB"/>
    <w:rsid w:val="0040740F"/>
    <w:rsid w:val="00407AF6"/>
    <w:rsid w:val="00410171"/>
    <w:rsid w:val="00412478"/>
    <w:rsid w:val="004128B6"/>
    <w:rsid w:val="00412C0D"/>
    <w:rsid w:val="00412E50"/>
    <w:rsid w:val="00413A67"/>
    <w:rsid w:val="004141B5"/>
    <w:rsid w:val="004143AF"/>
    <w:rsid w:val="00415372"/>
    <w:rsid w:val="004155C4"/>
    <w:rsid w:val="0041576B"/>
    <w:rsid w:val="00415801"/>
    <w:rsid w:val="00415D3A"/>
    <w:rsid w:val="00416822"/>
    <w:rsid w:val="00416F3B"/>
    <w:rsid w:val="0042087B"/>
    <w:rsid w:val="00421976"/>
    <w:rsid w:val="00421B20"/>
    <w:rsid w:val="004220FE"/>
    <w:rsid w:val="004222A4"/>
    <w:rsid w:val="00422FD1"/>
    <w:rsid w:val="00423678"/>
    <w:rsid w:val="00424A67"/>
    <w:rsid w:val="004253C7"/>
    <w:rsid w:val="004255D5"/>
    <w:rsid w:val="00427E9F"/>
    <w:rsid w:val="00430270"/>
    <w:rsid w:val="0043129B"/>
    <w:rsid w:val="004325D6"/>
    <w:rsid w:val="00433140"/>
    <w:rsid w:val="00433827"/>
    <w:rsid w:val="00433F32"/>
    <w:rsid w:val="004346A8"/>
    <w:rsid w:val="0043484F"/>
    <w:rsid w:val="0043509A"/>
    <w:rsid w:val="00435E43"/>
    <w:rsid w:val="004373A4"/>
    <w:rsid w:val="00437BE3"/>
    <w:rsid w:val="00437D6E"/>
    <w:rsid w:val="00440DD0"/>
    <w:rsid w:val="00440E36"/>
    <w:rsid w:val="00441EAD"/>
    <w:rsid w:val="00442E41"/>
    <w:rsid w:val="0044325E"/>
    <w:rsid w:val="0044371F"/>
    <w:rsid w:val="00444093"/>
    <w:rsid w:val="00444227"/>
    <w:rsid w:val="00444A9E"/>
    <w:rsid w:val="0044544A"/>
    <w:rsid w:val="00445C0A"/>
    <w:rsid w:val="00445E45"/>
    <w:rsid w:val="00447368"/>
    <w:rsid w:val="00447E71"/>
    <w:rsid w:val="004509CB"/>
    <w:rsid w:val="004520F5"/>
    <w:rsid w:val="00453E3D"/>
    <w:rsid w:val="004544C2"/>
    <w:rsid w:val="00455111"/>
    <w:rsid w:val="00455459"/>
    <w:rsid w:val="004556D1"/>
    <w:rsid w:val="00456843"/>
    <w:rsid w:val="00457D1A"/>
    <w:rsid w:val="00457ECB"/>
    <w:rsid w:val="00460457"/>
    <w:rsid w:val="00463135"/>
    <w:rsid w:val="004635B9"/>
    <w:rsid w:val="0046381C"/>
    <w:rsid w:val="00464A3F"/>
    <w:rsid w:val="00464A9B"/>
    <w:rsid w:val="00464AD1"/>
    <w:rsid w:val="00464F37"/>
    <w:rsid w:val="00465247"/>
    <w:rsid w:val="00465761"/>
    <w:rsid w:val="00465D38"/>
    <w:rsid w:val="00467E54"/>
    <w:rsid w:val="00470879"/>
    <w:rsid w:val="004718ED"/>
    <w:rsid w:val="0047199B"/>
    <w:rsid w:val="00473FFB"/>
    <w:rsid w:val="004757CE"/>
    <w:rsid w:val="004758FE"/>
    <w:rsid w:val="00475D59"/>
    <w:rsid w:val="00476496"/>
    <w:rsid w:val="004767E6"/>
    <w:rsid w:val="00476A26"/>
    <w:rsid w:val="00476E40"/>
    <w:rsid w:val="004773F0"/>
    <w:rsid w:val="00481A66"/>
    <w:rsid w:val="00482604"/>
    <w:rsid w:val="004831E9"/>
    <w:rsid w:val="00484D14"/>
    <w:rsid w:val="004859E7"/>
    <w:rsid w:val="00485C67"/>
    <w:rsid w:val="0048611F"/>
    <w:rsid w:val="004861C3"/>
    <w:rsid w:val="004867DD"/>
    <w:rsid w:val="0048711F"/>
    <w:rsid w:val="00487F4F"/>
    <w:rsid w:val="00490C30"/>
    <w:rsid w:val="00491657"/>
    <w:rsid w:val="004917E1"/>
    <w:rsid w:val="00491B5C"/>
    <w:rsid w:val="00492603"/>
    <w:rsid w:val="00492902"/>
    <w:rsid w:val="00493945"/>
    <w:rsid w:val="00494BC6"/>
    <w:rsid w:val="00494DEC"/>
    <w:rsid w:val="0049510C"/>
    <w:rsid w:val="00495303"/>
    <w:rsid w:val="0049554C"/>
    <w:rsid w:val="004958FA"/>
    <w:rsid w:val="004973FD"/>
    <w:rsid w:val="00497626"/>
    <w:rsid w:val="00497ED6"/>
    <w:rsid w:val="004A0D48"/>
    <w:rsid w:val="004A1028"/>
    <w:rsid w:val="004A104D"/>
    <w:rsid w:val="004A1375"/>
    <w:rsid w:val="004A1461"/>
    <w:rsid w:val="004A15C9"/>
    <w:rsid w:val="004A1C2B"/>
    <w:rsid w:val="004A2DB2"/>
    <w:rsid w:val="004A36E4"/>
    <w:rsid w:val="004A3934"/>
    <w:rsid w:val="004A484F"/>
    <w:rsid w:val="004A4928"/>
    <w:rsid w:val="004A5B1D"/>
    <w:rsid w:val="004A5B38"/>
    <w:rsid w:val="004A6CE5"/>
    <w:rsid w:val="004A6E6A"/>
    <w:rsid w:val="004B08BE"/>
    <w:rsid w:val="004B0AAC"/>
    <w:rsid w:val="004B0B4C"/>
    <w:rsid w:val="004B10BE"/>
    <w:rsid w:val="004B1202"/>
    <w:rsid w:val="004B13A3"/>
    <w:rsid w:val="004B1EC2"/>
    <w:rsid w:val="004B24B4"/>
    <w:rsid w:val="004B37B6"/>
    <w:rsid w:val="004B3D27"/>
    <w:rsid w:val="004B42ED"/>
    <w:rsid w:val="004B4506"/>
    <w:rsid w:val="004B47D3"/>
    <w:rsid w:val="004B4C0B"/>
    <w:rsid w:val="004B53A7"/>
    <w:rsid w:val="004B59DB"/>
    <w:rsid w:val="004B5C58"/>
    <w:rsid w:val="004B7027"/>
    <w:rsid w:val="004B72DF"/>
    <w:rsid w:val="004B79C1"/>
    <w:rsid w:val="004C0C77"/>
    <w:rsid w:val="004C1025"/>
    <w:rsid w:val="004C1610"/>
    <w:rsid w:val="004C172C"/>
    <w:rsid w:val="004C2E02"/>
    <w:rsid w:val="004C3320"/>
    <w:rsid w:val="004C377A"/>
    <w:rsid w:val="004C3C03"/>
    <w:rsid w:val="004C4B02"/>
    <w:rsid w:val="004C4C4E"/>
    <w:rsid w:val="004C5A2D"/>
    <w:rsid w:val="004C5EB1"/>
    <w:rsid w:val="004D010A"/>
    <w:rsid w:val="004D0B50"/>
    <w:rsid w:val="004D0E21"/>
    <w:rsid w:val="004D0F51"/>
    <w:rsid w:val="004D1090"/>
    <w:rsid w:val="004D11A2"/>
    <w:rsid w:val="004D19C2"/>
    <w:rsid w:val="004D21B4"/>
    <w:rsid w:val="004D226F"/>
    <w:rsid w:val="004D37A3"/>
    <w:rsid w:val="004D3C68"/>
    <w:rsid w:val="004D49AE"/>
    <w:rsid w:val="004D4D84"/>
    <w:rsid w:val="004D554F"/>
    <w:rsid w:val="004D5EA7"/>
    <w:rsid w:val="004D5FBA"/>
    <w:rsid w:val="004D612F"/>
    <w:rsid w:val="004D6629"/>
    <w:rsid w:val="004D6FEA"/>
    <w:rsid w:val="004D76A1"/>
    <w:rsid w:val="004E0C8E"/>
    <w:rsid w:val="004E18A6"/>
    <w:rsid w:val="004E1A69"/>
    <w:rsid w:val="004E42D9"/>
    <w:rsid w:val="004E7524"/>
    <w:rsid w:val="004F0AF6"/>
    <w:rsid w:val="004F1057"/>
    <w:rsid w:val="004F1D8E"/>
    <w:rsid w:val="004F2CEA"/>
    <w:rsid w:val="004F3820"/>
    <w:rsid w:val="004F3F0D"/>
    <w:rsid w:val="004F525C"/>
    <w:rsid w:val="004F581A"/>
    <w:rsid w:val="004F5BC5"/>
    <w:rsid w:val="004F697B"/>
    <w:rsid w:val="004F6AD8"/>
    <w:rsid w:val="004F72E0"/>
    <w:rsid w:val="004F7EB4"/>
    <w:rsid w:val="005003AA"/>
    <w:rsid w:val="00500669"/>
    <w:rsid w:val="00501A6B"/>
    <w:rsid w:val="005022E7"/>
    <w:rsid w:val="0050245C"/>
    <w:rsid w:val="00502898"/>
    <w:rsid w:val="00503B46"/>
    <w:rsid w:val="00504622"/>
    <w:rsid w:val="00505002"/>
    <w:rsid w:val="00506980"/>
    <w:rsid w:val="0050713A"/>
    <w:rsid w:val="005076E0"/>
    <w:rsid w:val="005105F3"/>
    <w:rsid w:val="0051120A"/>
    <w:rsid w:val="005112CD"/>
    <w:rsid w:val="00511A9F"/>
    <w:rsid w:val="00512131"/>
    <w:rsid w:val="00513340"/>
    <w:rsid w:val="00514885"/>
    <w:rsid w:val="00514E6B"/>
    <w:rsid w:val="00515955"/>
    <w:rsid w:val="00516B28"/>
    <w:rsid w:val="00517196"/>
    <w:rsid w:val="00517475"/>
    <w:rsid w:val="0052000E"/>
    <w:rsid w:val="0052021F"/>
    <w:rsid w:val="00520654"/>
    <w:rsid w:val="005221D2"/>
    <w:rsid w:val="00522226"/>
    <w:rsid w:val="00524751"/>
    <w:rsid w:val="00524E0A"/>
    <w:rsid w:val="0052610F"/>
    <w:rsid w:val="00526A13"/>
    <w:rsid w:val="00527F4D"/>
    <w:rsid w:val="00530504"/>
    <w:rsid w:val="00530E92"/>
    <w:rsid w:val="00530F31"/>
    <w:rsid w:val="00531195"/>
    <w:rsid w:val="0053196C"/>
    <w:rsid w:val="00531B7A"/>
    <w:rsid w:val="00532949"/>
    <w:rsid w:val="005338B0"/>
    <w:rsid w:val="00537143"/>
    <w:rsid w:val="00537F2E"/>
    <w:rsid w:val="00537F33"/>
    <w:rsid w:val="00537F8B"/>
    <w:rsid w:val="00541285"/>
    <w:rsid w:val="00541410"/>
    <w:rsid w:val="0054195E"/>
    <w:rsid w:val="00542B43"/>
    <w:rsid w:val="00543345"/>
    <w:rsid w:val="005434B9"/>
    <w:rsid w:val="005445F7"/>
    <w:rsid w:val="00544B2A"/>
    <w:rsid w:val="00544B74"/>
    <w:rsid w:val="00544C09"/>
    <w:rsid w:val="00544DB0"/>
    <w:rsid w:val="00546025"/>
    <w:rsid w:val="00547007"/>
    <w:rsid w:val="005470D3"/>
    <w:rsid w:val="00547524"/>
    <w:rsid w:val="00547820"/>
    <w:rsid w:val="0055123E"/>
    <w:rsid w:val="00551853"/>
    <w:rsid w:val="005518A0"/>
    <w:rsid w:val="00551FA9"/>
    <w:rsid w:val="005523BB"/>
    <w:rsid w:val="00552BC3"/>
    <w:rsid w:val="00552D08"/>
    <w:rsid w:val="00553181"/>
    <w:rsid w:val="0055495B"/>
    <w:rsid w:val="0055610B"/>
    <w:rsid w:val="005561FC"/>
    <w:rsid w:val="00556D29"/>
    <w:rsid w:val="00560D83"/>
    <w:rsid w:val="00561092"/>
    <w:rsid w:val="005612AC"/>
    <w:rsid w:val="00561487"/>
    <w:rsid w:val="0056228B"/>
    <w:rsid w:val="0056282D"/>
    <w:rsid w:val="00562CE5"/>
    <w:rsid w:val="00563AC8"/>
    <w:rsid w:val="00563CB8"/>
    <w:rsid w:val="00566DBF"/>
    <w:rsid w:val="005670FB"/>
    <w:rsid w:val="00567C04"/>
    <w:rsid w:val="005706F1"/>
    <w:rsid w:val="00571727"/>
    <w:rsid w:val="00571CA9"/>
    <w:rsid w:val="0057268B"/>
    <w:rsid w:val="005727E1"/>
    <w:rsid w:val="0057399E"/>
    <w:rsid w:val="00574BA4"/>
    <w:rsid w:val="00575223"/>
    <w:rsid w:val="00575D32"/>
    <w:rsid w:val="00576AD8"/>
    <w:rsid w:val="00576E15"/>
    <w:rsid w:val="005779F2"/>
    <w:rsid w:val="00580AE0"/>
    <w:rsid w:val="00580CC1"/>
    <w:rsid w:val="00580EE6"/>
    <w:rsid w:val="0058107C"/>
    <w:rsid w:val="00581906"/>
    <w:rsid w:val="00581EF4"/>
    <w:rsid w:val="005821B4"/>
    <w:rsid w:val="00582317"/>
    <w:rsid w:val="005832EF"/>
    <w:rsid w:val="0058559B"/>
    <w:rsid w:val="00585896"/>
    <w:rsid w:val="00585F59"/>
    <w:rsid w:val="00585F76"/>
    <w:rsid w:val="00586559"/>
    <w:rsid w:val="0058664E"/>
    <w:rsid w:val="00586D47"/>
    <w:rsid w:val="005901C0"/>
    <w:rsid w:val="005902C6"/>
    <w:rsid w:val="00590A85"/>
    <w:rsid w:val="00590F87"/>
    <w:rsid w:val="0059108B"/>
    <w:rsid w:val="00591830"/>
    <w:rsid w:val="005937CA"/>
    <w:rsid w:val="00593CF0"/>
    <w:rsid w:val="005944A5"/>
    <w:rsid w:val="00594A36"/>
    <w:rsid w:val="00597057"/>
    <w:rsid w:val="00597C88"/>
    <w:rsid w:val="005A0A0D"/>
    <w:rsid w:val="005A228C"/>
    <w:rsid w:val="005A255F"/>
    <w:rsid w:val="005A44C5"/>
    <w:rsid w:val="005A5D14"/>
    <w:rsid w:val="005A65B4"/>
    <w:rsid w:val="005A678D"/>
    <w:rsid w:val="005A6DED"/>
    <w:rsid w:val="005A74D7"/>
    <w:rsid w:val="005A7D78"/>
    <w:rsid w:val="005B055D"/>
    <w:rsid w:val="005B259F"/>
    <w:rsid w:val="005B31D4"/>
    <w:rsid w:val="005B5490"/>
    <w:rsid w:val="005B668D"/>
    <w:rsid w:val="005B66FF"/>
    <w:rsid w:val="005B6E60"/>
    <w:rsid w:val="005B759F"/>
    <w:rsid w:val="005B75B1"/>
    <w:rsid w:val="005C0A44"/>
    <w:rsid w:val="005C0AE4"/>
    <w:rsid w:val="005C0FD0"/>
    <w:rsid w:val="005C11A6"/>
    <w:rsid w:val="005C14B8"/>
    <w:rsid w:val="005C17DB"/>
    <w:rsid w:val="005C184C"/>
    <w:rsid w:val="005C23FD"/>
    <w:rsid w:val="005C26EA"/>
    <w:rsid w:val="005C2D32"/>
    <w:rsid w:val="005C4C2F"/>
    <w:rsid w:val="005C5E34"/>
    <w:rsid w:val="005C65CB"/>
    <w:rsid w:val="005C7867"/>
    <w:rsid w:val="005C7DDA"/>
    <w:rsid w:val="005D0525"/>
    <w:rsid w:val="005D0712"/>
    <w:rsid w:val="005D07F7"/>
    <w:rsid w:val="005D0CC5"/>
    <w:rsid w:val="005D1160"/>
    <w:rsid w:val="005D2717"/>
    <w:rsid w:val="005D4AD5"/>
    <w:rsid w:val="005D5BF2"/>
    <w:rsid w:val="005D5E44"/>
    <w:rsid w:val="005D7D92"/>
    <w:rsid w:val="005E0040"/>
    <w:rsid w:val="005E0160"/>
    <w:rsid w:val="005E0A96"/>
    <w:rsid w:val="005E0DB4"/>
    <w:rsid w:val="005E0F0D"/>
    <w:rsid w:val="005E13F0"/>
    <w:rsid w:val="005E181B"/>
    <w:rsid w:val="005E194D"/>
    <w:rsid w:val="005E45D4"/>
    <w:rsid w:val="005E4CA2"/>
    <w:rsid w:val="005E500F"/>
    <w:rsid w:val="005E56AC"/>
    <w:rsid w:val="005E56B8"/>
    <w:rsid w:val="005E5E1F"/>
    <w:rsid w:val="005E6452"/>
    <w:rsid w:val="005E6897"/>
    <w:rsid w:val="005E6A2B"/>
    <w:rsid w:val="005E6CE0"/>
    <w:rsid w:val="005E77E1"/>
    <w:rsid w:val="005F1D1C"/>
    <w:rsid w:val="005F2879"/>
    <w:rsid w:val="005F2C45"/>
    <w:rsid w:val="005F3CC3"/>
    <w:rsid w:val="005F44F2"/>
    <w:rsid w:val="005F522B"/>
    <w:rsid w:val="005F529C"/>
    <w:rsid w:val="005F5F5C"/>
    <w:rsid w:val="005F745C"/>
    <w:rsid w:val="0060167F"/>
    <w:rsid w:val="00602236"/>
    <w:rsid w:val="00604161"/>
    <w:rsid w:val="006041B4"/>
    <w:rsid w:val="00604420"/>
    <w:rsid w:val="00604B9C"/>
    <w:rsid w:val="00604E05"/>
    <w:rsid w:val="00604E4D"/>
    <w:rsid w:val="0060518D"/>
    <w:rsid w:val="0060594E"/>
    <w:rsid w:val="006067E3"/>
    <w:rsid w:val="00607336"/>
    <w:rsid w:val="006073A4"/>
    <w:rsid w:val="00607E10"/>
    <w:rsid w:val="00611091"/>
    <w:rsid w:val="00611400"/>
    <w:rsid w:val="00611652"/>
    <w:rsid w:val="00612540"/>
    <w:rsid w:val="00612798"/>
    <w:rsid w:val="00612D31"/>
    <w:rsid w:val="00612DF0"/>
    <w:rsid w:val="006132F4"/>
    <w:rsid w:val="00613722"/>
    <w:rsid w:val="00613C58"/>
    <w:rsid w:val="00614605"/>
    <w:rsid w:val="0061460C"/>
    <w:rsid w:val="00614C36"/>
    <w:rsid w:val="00614CBB"/>
    <w:rsid w:val="006158A9"/>
    <w:rsid w:val="00615E03"/>
    <w:rsid w:val="006168D6"/>
    <w:rsid w:val="00616D49"/>
    <w:rsid w:val="00617139"/>
    <w:rsid w:val="006171CC"/>
    <w:rsid w:val="006203E0"/>
    <w:rsid w:val="00620684"/>
    <w:rsid w:val="006223D1"/>
    <w:rsid w:val="00622A58"/>
    <w:rsid w:val="006243DA"/>
    <w:rsid w:val="00624401"/>
    <w:rsid w:val="00624F1D"/>
    <w:rsid w:val="00625AA8"/>
    <w:rsid w:val="006266C6"/>
    <w:rsid w:val="00626784"/>
    <w:rsid w:val="00626A66"/>
    <w:rsid w:val="00627874"/>
    <w:rsid w:val="00627B56"/>
    <w:rsid w:val="00627EB0"/>
    <w:rsid w:val="0063035A"/>
    <w:rsid w:val="00631410"/>
    <w:rsid w:val="006315C4"/>
    <w:rsid w:val="006315CB"/>
    <w:rsid w:val="006315F8"/>
    <w:rsid w:val="006316D1"/>
    <w:rsid w:val="00632565"/>
    <w:rsid w:val="0063277C"/>
    <w:rsid w:val="00633333"/>
    <w:rsid w:val="00633440"/>
    <w:rsid w:val="00634A21"/>
    <w:rsid w:val="00634AE6"/>
    <w:rsid w:val="006378E4"/>
    <w:rsid w:val="006421D5"/>
    <w:rsid w:val="006439C4"/>
    <w:rsid w:val="00643A9E"/>
    <w:rsid w:val="00644032"/>
    <w:rsid w:val="00644D19"/>
    <w:rsid w:val="00645607"/>
    <w:rsid w:val="00645675"/>
    <w:rsid w:val="00645D9C"/>
    <w:rsid w:val="00645D9E"/>
    <w:rsid w:val="00647949"/>
    <w:rsid w:val="00650C5F"/>
    <w:rsid w:val="006536B4"/>
    <w:rsid w:val="00654D99"/>
    <w:rsid w:val="006557B9"/>
    <w:rsid w:val="0065744F"/>
    <w:rsid w:val="00657834"/>
    <w:rsid w:val="00657887"/>
    <w:rsid w:val="006602A4"/>
    <w:rsid w:val="00660EAF"/>
    <w:rsid w:val="00660F01"/>
    <w:rsid w:val="006610FF"/>
    <w:rsid w:val="00661BA6"/>
    <w:rsid w:val="0066329E"/>
    <w:rsid w:val="006639E7"/>
    <w:rsid w:val="00664A8F"/>
    <w:rsid w:val="00664F1F"/>
    <w:rsid w:val="00664F5A"/>
    <w:rsid w:val="006655A2"/>
    <w:rsid w:val="00665A52"/>
    <w:rsid w:val="00666F0D"/>
    <w:rsid w:val="00670B15"/>
    <w:rsid w:val="00670D64"/>
    <w:rsid w:val="0067453A"/>
    <w:rsid w:val="00676950"/>
    <w:rsid w:val="00677124"/>
    <w:rsid w:val="0067772B"/>
    <w:rsid w:val="00677E1A"/>
    <w:rsid w:val="00680B49"/>
    <w:rsid w:val="006812A6"/>
    <w:rsid w:val="006812C6"/>
    <w:rsid w:val="00681647"/>
    <w:rsid w:val="00681A0B"/>
    <w:rsid w:val="00681BD8"/>
    <w:rsid w:val="00681E74"/>
    <w:rsid w:val="00682CE5"/>
    <w:rsid w:val="0068330A"/>
    <w:rsid w:val="0068393E"/>
    <w:rsid w:val="00683C64"/>
    <w:rsid w:val="006841D7"/>
    <w:rsid w:val="00684415"/>
    <w:rsid w:val="00684C4C"/>
    <w:rsid w:val="006861D6"/>
    <w:rsid w:val="0068775A"/>
    <w:rsid w:val="00692BBE"/>
    <w:rsid w:val="006935C8"/>
    <w:rsid w:val="006937A6"/>
    <w:rsid w:val="006943A6"/>
    <w:rsid w:val="00695F06"/>
    <w:rsid w:val="006963CC"/>
    <w:rsid w:val="00696A0D"/>
    <w:rsid w:val="00696BDB"/>
    <w:rsid w:val="00696BEC"/>
    <w:rsid w:val="00696DA6"/>
    <w:rsid w:val="00696E41"/>
    <w:rsid w:val="00697A10"/>
    <w:rsid w:val="00697D0E"/>
    <w:rsid w:val="00697D7E"/>
    <w:rsid w:val="006A0D1D"/>
    <w:rsid w:val="006A0DAE"/>
    <w:rsid w:val="006A1070"/>
    <w:rsid w:val="006A139F"/>
    <w:rsid w:val="006A326E"/>
    <w:rsid w:val="006A3B54"/>
    <w:rsid w:val="006A47BA"/>
    <w:rsid w:val="006A5BCF"/>
    <w:rsid w:val="006A65F7"/>
    <w:rsid w:val="006A7806"/>
    <w:rsid w:val="006B313D"/>
    <w:rsid w:val="006B35E6"/>
    <w:rsid w:val="006B39AA"/>
    <w:rsid w:val="006B3C18"/>
    <w:rsid w:val="006B4B11"/>
    <w:rsid w:val="006B4B9E"/>
    <w:rsid w:val="006B4BD5"/>
    <w:rsid w:val="006B5055"/>
    <w:rsid w:val="006B52F9"/>
    <w:rsid w:val="006B55E5"/>
    <w:rsid w:val="006B5E29"/>
    <w:rsid w:val="006B5EC2"/>
    <w:rsid w:val="006B60D4"/>
    <w:rsid w:val="006B6837"/>
    <w:rsid w:val="006B6844"/>
    <w:rsid w:val="006B6C92"/>
    <w:rsid w:val="006B7201"/>
    <w:rsid w:val="006B7A2D"/>
    <w:rsid w:val="006B7C9D"/>
    <w:rsid w:val="006B7F68"/>
    <w:rsid w:val="006B7F87"/>
    <w:rsid w:val="006C0BC6"/>
    <w:rsid w:val="006C0F0F"/>
    <w:rsid w:val="006C1766"/>
    <w:rsid w:val="006C21F7"/>
    <w:rsid w:val="006C39B4"/>
    <w:rsid w:val="006C42AD"/>
    <w:rsid w:val="006C51DF"/>
    <w:rsid w:val="006C5F55"/>
    <w:rsid w:val="006C6D81"/>
    <w:rsid w:val="006C738C"/>
    <w:rsid w:val="006C7959"/>
    <w:rsid w:val="006C7DE5"/>
    <w:rsid w:val="006D070E"/>
    <w:rsid w:val="006D1A5D"/>
    <w:rsid w:val="006D2017"/>
    <w:rsid w:val="006D26CB"/>
    <w:rsid w:val="006D2FED"/>
    <w:rsid w:val="006D342F"/>
    <w:rsid w:val="006D3614"/>
    <w:rsid w:val="006D4E30"/>
    <w:rsid w:val="006D5250"/>
    <w:rsid w:val="006D5781"/>
    <w:rsid w:val="006E02D3"/>
    <w:rsid w:val="006E0547"/>
    <w:rsid w:val="006E06F7"/>
    <w:rsid w:val="006E31DA"/>
    <w:rsid w:val="006E3924"/>
    <w:rsid w:val="006E39E0"/>
    <w:rsid w:val="006E43E3"/>
    <w:rsid w:val="006E55FB"/>
    <w:rsid w:val="006E614D"/>
    <w:rsid w:val="006E6249"/>
    <w:rsid w:val="006E6764"/>
    <w:rsid w:val="006E6DD3"/>
    <w:rsid w:val="006E78AC"/>
    <w:rsid w:val="006F1AB0"/>
    <w:rsid w:val="006F1BE8"/>
    <w:rsid w:val="006F2AD2"/>
    <w:rsid w:val="006F2EE8"/>
    <w:rsid w:val="006F40B2"/>
    <w:rsid w:val="006F4481"/>
    <w:rsid w:val="006F4FFE"/>
    <w:rsid w:val="006F5CBF"/>
    <w:rsid w:val="006F5E8D"/>
    <w:rsid w:val="006F6711"/>
    <w:rsid w:val="006F6CF5"/>
    <w:rsid w:val="006F71D5"/>
    <w:rsid w:val="006F7B58"/>
    <w:rsid w:val="00700128"/>
    <w:rsid w:val="007005C4"/>
    <w:rsid w:val="00700795"/>
    <w:rsid w:val="00701383"/>
    <w:rsid w:val="00701846"/>
    <w:rsid w:val="00701E82"/>
    <w:rsid w:val="00703135"/>
    <w:rsid w:val="007037B8"/>
    <w:rsid w:val="00704081"/>
    <w:rsid w:val="007047F9"/>
    <w:rsid w:val="00704E0E"/>
    <w:rsid w:val="00705457"/>
    <w:rsid w:val="007055F0"/>
    <w:rsid w:val="00705F84"/>
    <w:rsid w:val="00707182"/>
    <w:rsid w:val="0070797B"/>
    <w:rsid w:val="007105AB"/>
    <w:rsid w:val="007105F8"/>
    <w:rsid w:val="007109B6"/>
    <w:rsid w:val="00710A63"/>
    <w:rsid w:val="00710BBF"/>
    <w:rsid w:val="00710E6A"/>
    <w:rsid w:val="0071108B"/>
    <w:rsid w:val="00712A3A"/>
    <w:rsid w:val="00712B0D"/>
    <w:rsid w:val="00713856"/>
    <w:rsid w:val="0071483D"/>
    <w:rsid w:val="00715771"/>
    <w:rsid w:val="00715932"/>
    <w:rsid w:val="00716AAF"/>
    <w:rsid w:val="00716B5C"/>
    <w:rsid w:val="00717476"/>
    <w:rsid w:val="00717BDD"/>
    <w:rsid w:val="00720975"/>
    <w:rsid w:val="00722632"/>
    <w:rsid w:val="00723CE5"/>
    <w:rsid w:val="0072424E"/>
    <w:rsid w:val="007247D5"/>
    <w:rsid w:val="00724F46"/>
    <w:rsid w:val="00725E11"/>
    <w:rsid w:val="0072643C"/>
    <w:rsid w:val="007266A5"/>
    <w:rsid w:val="00727FBC"/>
    <w:rsid w:val="00730BC4"/>
    <w:rsid w:val="00731350"/>
    <w:rsid w:val="00732D2E"/>
    <w:rsid w:val="00733176"/>
    <w:rsid w:val="007339C9"/>
    <w:rsid w:val="00733C98"/>
    <w:rsid w:val="00733E82"/>
    <w:rsid w:val="00734410"/>
    <w:rsid w:val="00735025"/>
    <w:rsid w:val="0073651B"/>
    <w:rsid w:val="00736AA0"/>
    <w:rsid w:val="007373AE"/>
    <w:rsid w:val="00737890"/>
    <w:rsid w:val="00737BF4"/>
    <w:rsid w:val="00740699"/>
    <w:rsid w:val="00740D83"/>
    <w:rsid w:val="00741767"/>
    <w:rsid w:val="00741A78"/>
    <w:rsid w:val="00742426"/>
    <w:rsid w:val="00742CE5"/>
    <w:rsid w:val="0074405E"/>
    <w:rsid w:val="00745007"/>
    <w:rsid w:val="00745EC4"/>
    <w:rsid w:val="00746BFA"/>
    <w:rsid w:val="007470DA"/>
    <w:rsid w:val="0074768B"/>
    <w:rsid w:val="007500A3"/>
    <w:rsid w:val="00750223"/>
    <w:rsid w:val="00750364"/>
    <w:rsid w:val="00750496"/>
    <w:rsid w:val="00750EF2"/>
    <w:rsid w:val="00750F06"/>
    <w:rsid w:val="00750F52"/>
    <w:rsid w:val="00751041"/>
    <w:rsid w:val="007519F9"/>
    <w:rsid w:val="00751EFE"/>
    <w:rsid w:val="00752245"/>
    <w:rsid w:val="00754050"/>
    <w:rsid w:val="00754FF8"/>
    <w:rsid w:val="00755AF1"/>
    <w:rsid w:val="00755D2C"/>
    <w:rsid w:val="00755F7A"/>
    <w:rsid w:val="007561E7"/>
    <w:rsid w:val="0075663D"/>
    <w:rsid w:val="00757763"/>
    <w:rsid w:val="00757F18"/>
    <w:rsid w:val="007600FE"/>
    <w:rsid w:val="0076080D"/>
    <w:rsid w:val="0076132B"/>
    <w:rsid w:val="00761FF8"/>
    <w:rsid w:val="00762A0A"/>
    <w:rsid w:val="00764D26"/>
    <w:rsid w:val="00765489"/>
    <w:rsid w:val="0076657D"/>
    <w:rsid w:val="00766C70"/>
    <w:rsid w:val="00766F53"/>
    <w:rsid w:val="007713F4"/>
    <w:rsid w:val="00772727"/>
    <w:rsid w:val="00772FE5"/>
    <w:rsid w:val="00773EBD"/>
    <w:rsid w:val="00774E40"/>
    <w:rsid w:val="0077600C"/>
    <w:rsid w:val="007769C0"/>
    <w:rsid w:val="00776E88"/>
    <w:rsid w:val="00776EF1"/>
    <w:rsid w:val="00780144"/>
    <w:rsid w:val="007804CD"/>
    <w:rsid w:val="00781DC9"/>
    <w:rsid w:val="0078212E"/>
    <w:rsid w:val="0078217E"/>
    <w:rsid w:val="0078227E"/>
    <w:rsid w:val="00784160"/>
    <w:rsid w:val="00785DC1"/>
    <w:rsid w:val="00786D62"/>
    <w:rsid w:val="007873FC"/>
    <w:rsid w:val="00787471"/>
    <w:rsid w:val="007908B1"/>
    <w:rsid w:val="00791DB4"/>
    <w:rsid w:val="00791FF7"/>
    <w:rsid w:val="007923C2"/>
    <w:rsid w:val="007924B6"/>
    <w:rsid w:val="00792C34"/>
    <w:rsid w:val="00794429"/>
    <w:rsid w:val="00794571"/>
    <w:rsid w:val="007946B1"/>
    <w:rsid w:val="00794D2C"/>
    <w:rsid w:val="00794EFB"/>
    <w:rsid w:val="00794F98"/>
    <w:rsid w:val="00795158"/>
    <w:rsid w:val="007959DC"/>
    <w:rsid w:val="00795CC8"/>
    <w:rsid w:val="00795E2C"/>
    <w:rsid w:val="00796095"/>
    <w:rsid w:val="007960D7"/>
    <w:rsid w:val="007969E9"/>
    <w:rsid w:val="007A0102"/>
    <w:rsid w:val="007A06E5"/>
    <w:rsid w:val="007A0930"/>
    <w:rsid w:val="007A27B8"/>
    <w:rsid w:val="007A2F6C"/>
    <w:rsid w:val="007A3003"/>
    <w:rsid w:val="007A43D4"/>
    <w:rsid w:val="007A485B"/>
    <w:rsid w:val="007A4A9E"/>
    <w:rsid w:val="007A4D97"/>
    <w:rsid w:val="007A5C5F"/>
    <w:rsid w:val="007B0526"/>
    <w:rsid w:val="007B0F1D"/>
    <w:rsid w:val="007B2B59"/>
    <w:rsid w:val="007B43B9"/>
    <w:rsid w:val="007B4E47"/>
    <w:rsid w:val="007B594A"/>
    <w:rsid w:val="007B5B13"/>
    <w:rsid w:val="007B6737"/>
    <w:rsid w:val="007B73DB"/>
    <w:rsid w:val="007B77AC"/>
    <w:rsid w:val="007B7BDC"/>
    <w:rsid w:val="007C09C0"/>
    <w:rsid w:val="007C2A63"/>
    <w:rsid w:val="007C372B"/>
    <w:rsid w:val="007C41E4"/>
    <w:rsid w:val="007C42C4"/>
    <w:rsid w:val="007C48FE"/>
    <w:rsid w:val="007C542B"/>
    <w:rsid w:val="007C60A4"/>
    <w:rsid w:val="007C64D0"/>
    <w:rsid w:val="007C6BE5"/>
    <w:rsid w:val="007C6D75"/>
    <w:rsid w:val="007C751A"/>
    <w:rsid w:val="007C7665"/>
    <w:rsid w:val="007C7ADC"/>
    <w:rsid w:val="007D1C3E"/>
    <w:rsid w:val="007D1C6C"/>
    <w:rsid w:val="007D34E1"/>
    <w:rsid w:val="007D377E"/>
    <w:rsid w:val="007D3F9A"/>
    <w:rsid w:val="007D4DA2"/>
    <w:rsid w:val="007D54FB"/>
    <w:rsid w:val="007D6328"/>
    <w:rsid w:val="007D6382"/>
    <w:rsid w:val="007D689D"/>
    <w:rsid w:val="007D6950"/>
    <w:rsid w:val="007D6CCA"/>
    <w:rsid w:val="007D7485"/>
    <w:rsid w:val="007D7D4F"/>
    <w:rsid w:val="007D7E07"/>
    <w:rsid w:val="007D7E5F"/>
    <w:rsid w:val="007D7F33"/>
    <w:rsid w:val="007E0281"/>
    <w:rsid w:val="007E069A"/>
    <w:rsid w:val="007E1DDE"/>
    <w:rsid w:val="007E3276"/>
    <w:rsid w:val="007E3BC8"/>
    <w:rsid w:val="007E471C"/>
    <w:rsid w:val="007E4722"/>
    <w:rsid w:val="007E5101"/>
    <w:rsid w:val="007E51F3"/>
    <w:rsid w:val="007E5A56"/>
    <w:rsid w:val="007E740E"/>
    <w:rsid w:val="007F0703"/>
    <w:rsid w:val="007F1386"/>
    <w:rsid w:val="007F179C"/>
    <w:rsid w:val="007F3DAA"/>
    <w:rsid w:val="007F4C72"/>
    <w:rsid w:val="007F4CBA"/>
    <w:rsid w:val="007F607C"/>
    <w:rsid w:val="007F63E1"/>
    <w:rsid w:val="007F6C67"/>
    <w:rsid w:val="007F6DD2"/>
    <w:rsid w:val="007F7209"/>
    <w:rsid w:val="007F7554"/>
    <w:rsid w:val="007F761E"/>
    <w:rsid w:val="007F79F3"/>
    <w:rsid w:val="00800875"/>
    <w:rsid w:val="008017EE"/>
    <w:rsid w:val="008028F1"/>
    <w:rsid w:val="00803029"/>
    <w:rsid w:val="00803B64"/>
    <w:rsid w:val="008045BA"/>
    <w:rsid w:val="00804B66"/>
    <w:rsid w:val="00804E6F"/>
    <w:rsid w:val="0080578A"/>
    <w:rsid w:val="00805B3D"/>
    <w:rsid w:val="00806510"/>
    <w:rsid w:val="00806A6B"/>
    <w:rsid w:val="00806B67"/>
    <w:rsid w:val="00806CCB"/>
    <w:rsid w:val="008072C5"/>
    <w:rsid w:val="008101FA"/>
    <w:rsid w:val="0081056A"/>
    <w:rsid w:val="008105C2"/>
    <w:rsid w:val="0081125A"/>
    <w:rsid w:val="00811AC9"/>
    <w:rsid w:val="00811F0D"/>
    <w:rsid w:val="00812A04"/>
    <w:rsid w:val="00812E91"/>
    <w:rsid w:val="00813B77"/>
    <w:rsid w:val="008159D2"/>
    <w:rsid w:val="00815BCE"/>
    <w:rsid w:val="00815BF3"/>
    <w:rsid w:val="008161E5"/>
    <w:rsid w:val="00816EEA"/>
    <w:rsid w:val="00817252"/>
    <w:rsid w:val="0081788E"/>
    <w:rsid w:val="008204F6"/>
    <w:rsid w:val="008207B6"/>
    <w:rsid w:val="008217EE"/>
    <w:rsid w:val="00821B02"/>
    <w:rsid w:val="00822755"/>
    <w:rsid w:val="00822D21"/>
    <w:rsid w:val="00822E9F"/>
    <w:rsid w:val="0082471E"/>
    <w:rsid w:val="008247D1"/>
    <w:rsid w:val="008254F6"/>
    <w:rsid w:val="0082572C"/>
    <w:rsid w:val="00825A8F"/>
    <w:rsid w:val="00825AB9"/>
    <w:rsid w:val="00826CEC"/>
    <w:rsid w:val="00826FFF"/>
    <w:rsid w:val="008271C4"/>
    <w:rsid w:val="00830B31"/>
    <w:rsid w:val="0083147E"/>
    <w:rsid w:val="0083153B"/>
    <w:rsid w:val="0083214A"/>
    <w:rsid w:val="00833674"/>
    <w:rsid w:val="00833FFC"/>
    <w:rsid w:val="008350B2"/>
    <w:rsid w:val="00836499"/>
    <w:rsid w:val="00840CC9"/>
    <w:rsid w:val="00841076"/>
    <w:rsid w:val="008410ED"/>
    <w:rsid w:val="0084159C"/>
    <w:rsid w:val="00841D70"/>
    <w:rsid w:val="0084369A"/>
    <w:rsid w:val="008464AC"/>
    <w:rsid w:val="0084692C"/>
    <w:rsid w:val="00846E30"/>
    <w:rsid w:val="00847150"/>
    <w:rsid w:val="00847275"/>
    <w:rsid w:val="00847B37"/>
    <w:rsid w:val="00847D41"/>
    <w:rsid w:val="00850F54"/>
    <w:rsid w:val="008511AC"/>
    <w:rsid w:val="008525C8"/>
    <w:rsid w:val="00852E7A"/>
    <w:rsid w:val="00855512"/>
    <w:rsid w:val="008559C6"/>
    <w:rsid w:val="00856B5E"/>
    <w:rsid w:val="008573F3"/>
    <w:rsid w:val="00857625"/>
    <w:rsid w:val="008579C5"/>
    <w:rsid w:val="0086040F"/>
    <w:rsid w:val="00860620"/>
    <w:rsid w:val="00862788"/>
    <w:rsid w:val="00863F8F"/>
    <w:rsid w:val="00864BCE"/>
    <w:rsid w:val="00864E92"/>
    <w:rsid w:val="00866A71"/>
    <w:rsid w:val="00867024"/>
    <w:rsid w:val="00867596"/>
    <w:rsid w:val="00870041"/>
    <w:rsid w:val="008701A9"/>
    <w:rsid w:val="00871186"/>
    <w:rsid w:val="00871431"/>
    <w:rsid w:val="00873E2A"/>
    <w:rsid w:val="0087421C"/>
    <w:rsid w:val="00874622"/>
    <w:rsid w:val="0087499E"/>
    <w:rsid w:val="008761F1"/>
    <w:rsid w:val="00876A18"/>
    <w:rsid w:val="00876DB4"/>
    <w:rsid w:val="00876F2B"/>
    <w:rsid w:val="00877778"/>
    <w:rsid w:val="0087791D"/>
    <w:rsid w:val="0088040F"/>
    <w:rsid w:val="008804A1"/>
    <w:rsid w:val="008815E4"/>
    <w:rsid w:val="00881730"/>
    <w:rsid w:val="00881D48"/>
    <w:rsid w:val="008820EA"/>
    <w:rsid w:val="00882398"/>
    <w:rsid w:val="00882F90"/>
    <w:rsid w:val="00883027"/>
    <w:rsid w:val="0088476A"/>
    <w:rsid w:val="00884AD6"/>
    <w:rsid w:val="00885164"/>
    <w:rsid w:val="00886AEF"/>
    <w:rsid w:val="00887AAE"/>
    <w:rsid w:val="008900AE"/>
    <w:rsid w:val="00891E8E"/>
    <w:rsid w:val="00892086"/>
    <w:rsid w:val="008940B8"/>
    <w:rsid w:val="00894488"/>
    <w:rsid w:val="008951BC"/>
    <w:rsid w:val="008A041A"/>
    <w:rsid w:val="008A061F"/>
    <w:rsid w:val="008A17AA"/>
    <w:rsid w:val="008A18CC"/>
    <w:rsid w:val="008A218C"/>
    <w:rsid w:val="008A254E"/>
    <w:rsid w:val="008A27BF"/>
    <w:rsid w:val="008A346E"/>
    <w:rsid w:val="008A38E2"/>
    <w:rsid w:val="008A3944"/>
    <w:rsid w:val="008A3BBA"/>
    <w:rsid w:val="008A4219"/>
    <w:rsid w:val="008A42D8"/>
    <w:rsid w:val="008A47E4"/>
    <w:rsid w:val="008A6A5F"/>
    <w:rsid w:val="008A749F"/>
    <w:rsid w:val="008A75CF"/>
    <w:rsid w:val="008B07FD"/>
    <w:rsid w:val="008B1052"/>
    <w:rsid w:val="008B1369"/>
    <w:rsid w:val="008B31C5"/>
    <w:rsid w:val="008B3315"/>
    <w:rsid w:val="008B33C8"/>
    <w:rsid w:val="008B34A1"/>
    <w:rsid w:val="008B38D8"/>
    <w:rsid w:val="008B4EEF"/>
    <w:rsid w:val="008B504E"/>
    <w:rsid w:val="008B5D57"/>
    <w:rsid w:val="008B5F03"/>
    <w:rsid w:val="008B65B3"/>
    <w:rsid w:val="008B68DE"/>
    <w:rsid w:val="008B71B0"/>
    <w:rsid w:val="008B7A50"/>
    <w:rsid w:val="008C18B9"/>
    <w:rsid w:val="008C191C"/>
    <w:rsid w:val="008C3902"/>
    <w:rsid w:val="008C3D54"/>
    <w:rsid w:val="008C4AF6"/>
    <w:rsid w:val="008C50E2"/>
    <w:rsid w:val="008C6155"/>
    <w:rsid w:val="008C6E66"/>
    <w:rsid w:val="008C702B"/>
    <w:rsid w:val="008C795A"/>
    <w:rsid w:val="008C7B06"/>
    <w:rsid w:val="008C7B0F"/>
    <w:rsid w:val="008D09CB"/>
    <w:rsid w:val="008D1441"/>
    <w:rsid w:val="008D1B65"/>
    <w:rsid w:val="008D1CFE"/>
    <w:rsid w:val="008D1D57"/>
    <w:rsid w:val="008D2132"/>
    <w:rsid w:val="008D2461"/>
    <w:rsid w:val="008D25B5"/>
    <w:rsid w:val="008D25F6"/>
    <w:rsid w:val="008D2E72"/>
    <w:rsid w:val="008D2E91"/>
    <w:rsid w:val="008D35FE"/>
    <w:rsid w:val="008D3B67"/>
    <w:rsid w:val="008D3D13"/>
    <w:rsid w:val="008D442B"/>
    <w:rsid w:val="008D59A0"/>
    <w:rsid w:val="008D5A2E"/>
    <w:rsid w:val="008D5C77"/>
    <w:rsid w:val="008D6461"/>
    <w:rsid w:val="008E02EC"/>
    <w:rsid w:val="008E0873"/>
    <w:rsid w:val="008E13CF"/>
    <w:rsid w:val="008E1685"/>
    <w:rsid w:val="008E1FBF"/>
    <w:rsid w:val="008E2973"/>
    <w:rsid w:val="008E5671"/>
    <w:rsid w:val="008E59B6"/>
    <w:rsid w:val="008E6A94"/>
    <w:rsid w:val="008E6C0D"/>
    <w:rsid w:val="008E6CB0"/>
    <w:rsid w:val="008E74AB"/>
    <w:rsid w:val="008E7A55"/>
    <w:rsid w:val="008E7DCD"/>
    <w:rsid w:val="008E7F4E"/>
    <w:rsid w:val="008F00FA"/>
    <w:rsid w:val="008F070F"/>
    <w:rsid w:val="008F0E98"/>
    <w:rsid w:val="008F1364"/>
    <w:rsid w:val="008F186B"/>
    <w:rsid w:val="008F1C1B"/>
    <w:rsid w:val="008F2BB0"/>
    <w:rsid w:val="008F3EDF"/>
    <w:rsid w:val="008F4FA3"/>
    <w:rsid w:val="008F5757"/>
    <w:rsid w:val="008F65C0"/>
    <w:rsid w:val="008F6E42"/>
    <w:rsid w:val="008F7110"/>
    <w:rsid w:val="009026C6"/>
    <w:rsid w:val="009027FC"/>
    <w:rsid w:val="00902843"/>
    <w:rsid w:val="00902BDB"/>
    <w:rsid w:val="00902D07"/>
    <w:rsid w:val="00902F88"/>
    <w:rsid w:val="0090303D"/>
    <w:rsid w:val="00904795"/>
    <w:rsid w:val="009048EA"/>
    <w:rsid w:val="00905CD3"/>
    <w:rsid w:val="00905D6A"/>
    <w:rsid w:val="00906097"/>
    <w:rsid w:val="00906148"/>
    <w:rsid w:val="00906B57"/>
    <w:rsid w:val="00906BA8"/>
    <w:rsid w:val="00906DCC"/>
    <w:rsid w:val="009100EF"/>
    <w:rsid w:val="00910D78"/>
    <w:rsid w:val="0091140D"/>
    <w:rsid w:val="009116CC"/>
    <w:rsid w:val="00911746"/>
    <w:rsid w:val="00911AA9"/>
    <w:rsid w:val="00911D3D"/>
    <w:rsid w:val="009132F9"/>
    <w:rsid w:val="00914A6D"/>
    <w:rsid w:val="00914C94"/>
    <w:rsid w:val="00915277"/>
    <w:rsid w:val="00915660"/>
    <w:rsid w:val="00915862"/>
    <w:rsid w:val="00916565"/>
    <w:rsid w:val="00916E34"/>
    <w:rsid w:val="00916F46"/>
    <w:rsid w:val="009203D1"/>
    <w:rsid w:val="009233D0"/>
    <w:rsid w:val="009234FA"/>
    <w:rsid w:val="009237FF"/>
    <w:rsid w:val="009257F5"/>
    <w:rsid w:val="009263E8"/>
    <w:rsid w:val="00926A07"/>
    <w:rsid w:val="00926D48"/>
    <w:rsid w:val="00927447"/>
    <w:rsid w:val="00927841"/>
    <w:rsid w:val="00927B7A"/>
    <w:rsid w:val="0093084F"/>
    <w:rsid w:val="009309BC"/>
    <w:rsid w:val="00930DC3"/>
    <w:rsid w:val="00930EAB"/>
    <w:rsid w:val="009312B0"/>
    <w:rsid w:val="009319AF"/>
    <w:rsid w:val="00932010"/>
    <w:rsid w:val="009325A7"/>
    <w:rsid w:val="00932CF0"/>
    <w:rsid w:val="00933ADE"/>
    <w:rsid w:val="00933B53"/>
    <w:rsid w:val="00934C1C"/>
    <w:rsid w:val="009351B7"/>
    <w:rsid w:val="0093610D"/>
    <w:rsid w:val="00936151"/>
    <w:rsid w:val="00936564"/>
    <w:rsid w:val="00941B1A"/>
    <w:rsid w:val="00941BB7"/>
    <w:rsid w:val="00942B33"/>
    <w:rsid w:val="00942CDC"/>
    <w:rsid w:val="00942EF6"/>
    <w:rsid w:val="00945CE5"/>
    <w:rsid w:val="0094610D"/>
    <w:rsid w:val="00946E11"/>
    <w:rsid w:val="009474AB"/>
    <w:rsid w:val="00947D9C"/>
    <w:rsid w:val="00950EEF"/>
    <w:rsid w:val="0095109F"/>
    <w:rsid w:val="00951807"/>
    <w:rsid w:val="009535D6"/>
    <w:rsid w:val="00953604"/>
    <w:rsid w:val="00953F47"/>
    <w:rsid w:val="009542A6"/>
    <w:rsid w:val="0095525D"/>
    <w:rsid w:val="00955A21"/>
    <w:rsid w:val="009560F9"/>
    <w:rsid w:val="009563CC"/>
    <w:rsid w:val="0095641F"/>
    <w:rsid w:val="009566F2"/>
    <w:rsid w:val="00956ED0"/>
    <w:rsid w:val="00957433"/>
    <w:rsid w:val="00957916"/>
    <w:rsid w:val="009602AE"/>
    <w:rsid w:val="009606C6"/>
    <w:rsid w:val="009618D4"/>
    <w:rsid w:val="00962B3B"/>
    <w:rsid w:val="009632AB"/>
    <w:rsid w:val="0096340A"/>
    <w:rsid w:val="00963D44"/>
    <w:rsid w:val="00963D5D"/>
    <w:rsid w:val="00964558"/>
    <w:rsid w:val="00964D9D"/>
    <w:rsid w:val="00964DCA"/>
    <w:rsid w:val="0096664F"/>
    <w:rsid w:val="0096726F"/>
    <w:rsid w:val="00967F37"/>
    <w:rsid w:val="00970896"/>
    <w:rsid w:val="00970C5C"/>
    <w:rsid w:val="00971151"/>
    <w:rsid w:val="00971FB6"/>
    <w:rsid w:val="009721B0"/>
    <w:rsid w:val="00972841"/>
    <w:rsid w:val="00972AF5"/>
    <w:rsid w:val="00973E7B"/>
    <w:rsid w:val="00973FC5"/>
    <w:rsid w:val="0097425E"/>
    <w:rsid w:val="0097497E"/>
    <w:rsid w:val="009759C0"/>
    <w:rsid w:val="00975A82"/>
    <w:rsid w:val="0097606D"/>
    <w:rsid w:val="00976753"/>
    <w:rsid w:val="009768F1"/>
    <w:rsid w:val="009805D0"/>
    <w:rsid w:val="00981E26"/>
    <w:rsid w:val="00982E54"/>
    <w:rsid w:val="0098329E"/>
    <w:rsid w:val="00983858"/>
    <w:rsid w:val="009850DF"/>
    <w:rsid w:val="00985560"/>
    <w:rsid w:val="00985B47"/>
    <w:rsid w:val="00985FEE"/>
    <w:rsid w:val="00986449"/>
    <w:rsid w:val="00986E57"/>
    <w:rsid w:val="00987635"/>
    <w:rsid w:val="009906BC"/>
    <w:rsid w:val="009908EC"/>
    <w:rsid w:val="009911CC"/>
    <w:rsid w:val="00991A48"/>
    <w:rsid w:val="00992B4A"/>
    <w:rsid w:val="00992ED1"/>
    <w:rsid w:val="00995274"/>
    <w:rsid w:val="00995877"/>
    <w:rsid w:val="009960B1"/>
    <w:rsid w:val="00996269"/>
    <w:rsid w:val="0099631E"/>
    <w:rsid w:val="009964DE"/>
    <w:rsid w:val="00996ECD"/>
    <w:rsid w:val="0099780C"/>
    <w:rsid w:val="009979F2"/>
    <w:rsid w:val="00997B49"/>
    <w:rsid w:val="009A0330"/>
    <w:rsid w:val="009A0FBE"/>
    <w:rsid w:val="009A197B"/>
    <w:rsid w:val="009A288B"/>
    <w:rsid w:val="009A347E"/>
    <w:rsid w:val="009A4119"/>
    <w:rsid w:val="009A4593"/>
    <w:rsid w:val="009A4A10"/>
    <w:rsid w:val="009A56E8"/>
    <w:rsid w:val="009A6F95"/>
    <w:rsid w:val="009A7946"/>
    <w:rsid w:val="009B0671"/>
    <w:rsid w:val="009B06D8"/>
    <w:rsid w:val="009B0C50"/>
    <w:rsid w:val="009B183C"/>
    <w:rsid w:val="009B2F13"/>
    <w:rsid w:val="009B387C"/>
    <w:rsid w:val="009B3D9E"/>
    <w:rsid w:val="009B4460"/>
    <w:rsid w:val="009B4874"/>
    <w:rsid w:val="009B4BA5"/>
    <w:rsid w:val="009B52D6"/>
    <w:rsid w:val="009B5D69"/>
    <w:rsid w:val="009B74F3"/>
    <w:rsid w:val="009B7C02"/>
    <w:rsid w:val="009C0971"/>
    <w:rsid w:val="009C108F"/>
    <w:rsid w:val="009C16D3"/>
    <w:rsid w:val="009C17F0"/>
    <w:rsid w:val="009C3237"/>
    <w:rsid w:val="009C33E8"/>
    <w:rsid w:val="009C3BF4"/>
    <w:rsid w:val="009C498A"/>
    <w:rsid w:val="009C51C3"/>
    <w:rsid w:val="009C560F"/>
    <w:rsid w:val="009C598B"/>
    <w:rsid w:val="009C7D6E"/>
    <w:rsid w:val="009D046C"/>
    <w:rsid w:val="009D15BB"/>
    <w:rsid w:val="009D1626"/>
    <w:rsid w:val="009D19D1"/>
    <w:rsid w:val="009D2372"/>
    <w:rsid w:val="009D2A60"/>
    <w:rsid w:val="009D349A"/>
    <w:rsid w:val="009D3715"/>
    <w:rsid w:val="009D3F34"/>
    <w:rsid w:val="009D3FD3"/>
    <w:rsid w:val="009D4226"/>
    <w:rsid w:val="009D4399"/>
    <w:rsid w:val="009D4D30"/>
    <w:rsid w:val="009D4F28"/>
    <w:rsid w:val="009D5964"/>
    <w:rsid w:val="009D5BF2"/>
    <w:rsid w:val="009D5DBD"/>
    <w:rsid w:val="009D60BA"/>
    <w:rsid w:val="009D6380"/>
    <w:rsid w:val="009D733E"/>
    <w:rsid w:val="009D7A9A"/>
    <w:rsid w:val="009E1850"/>
    <w:rsid w:val="009E1988"/>
    <w:rsid w:val="009E1A6C"/>
    <w:rsid w:val="009E224D"/>
    <w:rsid w:val="009E2337"/>
    <w:rsid w:val="009E3EDC"/>
    <w:rsid w:val="009E5394"/>
    <w:rsid w:val="009E5EC5"/>
    <w:rsid w:val="009E7024"/>
    <w:rsid w:val="009E785D"/>
    <w:rsid w:val="009E7B19"/>
    <w:rsid w:val="009E7DC8"/>
    <w:rsid w:val="009E7F93"/>
    <w:rsid w:val="009F04B1"/>
    <w:rsid w:val="009F0CF6"/>
    <w:rsid w:val="009F12ED"/>
    <w:rsid w:val="009F1ECD"/>
    <w:rsid w:val="009F31E5"/>
    <w:rsid w:val="009F33E9"/>
    <w:rsid w:val="009F35BF"/>
    <w:rsid w:val="009F3EC8"/>
    <w:rsid w:val="009F4DA8"/>
    <w:rsid w:val="009F5C50"/>
    <w:rsid w:val="009F5C7E"/>
    <w:rsid w:val="009F65CD"/>
    <w:rsid w:val="009F6995"/>
    <w:rsid w:val="009F6C5F"/>
    <w:rsid w:val="009F76DB"/>
    <w:rsid w:val="00A00CF4"/>
    <w:rsid w:val="00A00E2C"/>
    <w:rsid w:val="00A013BC"/>
    <w:rsid w:val="00A01753"/>
    <w:rsid w:val="00A022BC"/>
    <w:rsid w:val="00A02840"/>
    <w:rsid w:val="00A028C4"/>
    <w:rsid w:val="00A032B4"/>
    <w:rsid w:val="00A065FC"/>
    <w:rsid w:val="00A066B5"/>
    <w:rsid w:val="00A06CE9"/>
    <w:rsid w:val="00A0787B"/>
    <w:rsid w:val="00A07967"/>
    <w:rsid w:val="00A07987"/>
    <w:rsid w:val="00A07F07"/>
    <w:rsid w:val="00A104E0"/>
    <w:rsid w:val="00A10B6C"/>
    <w:rsid w:val="00A10E03"/>
    <w:rsid w:val="00A112B7"/>
    <w:rsid w:val="00A11964"/>
    <w:rsid w:val="00A12B96"/>
    <w:rsid w:val="00A13697"/>
    <w:rsid w:val="00A14A32"/>
    <w:rsid w:val="00A15377"/>
    <w:rsid w:val="00A163DB"/>
    <w:rsid w:val="00A1688C"/>
    <w:rsid w:val="00A169EF"/>
    <w:rsid w:val="00A16FD6"/>
    <w:rsid w:val="00A173A1"/>
    <w:rsid w:val="00A17B7A"/>
    <w:rsid w:val="00A17CAB"/>
    <w:rsid w:val="00A204BB"/>
    <w:rsid w:val="00A20A28"/>
    <w:rsid w:val="00A20DA1"/>
    <w:rsid w:val="00A21585"/>
    <w:rsid w:val="00A22106"/>
    <w:rsid w:val="00A230C4"/>
    <w:rsid w:val="00A242ED"/>
    <w:rsid w:val="00A24434"/>
    <w:rsid w:val="00A24F0D"/>
    <w:rsid w:val="00A255FA"/>
    <w:rsid w:val="00A25E98"/>
    <w:rsid w:val="00A26E55"/>
    <w:rsid w:val="00A27818"/>
    <w:rsid w:val="00A27D64"/>
    <w:rsid w:val="00A3032D"/>
    <w:rsid w:val="00A3096B"/>
    <w:rsid w:val="00A321B2"/>
    <w:rsid w:val="00A321EB"/>
    <w:rsid w:val="00A32357"/>
    <w:rsid w:val="00A3282E"/>
    <w:rsid w:val="00A32E51"/>
    <w:rsid w:val="00A3306A"/>
    <w:rsid w:val="00A33C64"/>
    <w:rsid w:val="00A3529E"/>
    <w:rsid w:val="00A3543D"/>
    <w:rsid w:val="00A35A8E"/>
    <w:rsid w:val="00A406ED"/>
    <w:rsid w:val="00A408B6"/>
    <w:rsid w:val="00A40CBB"/>
    <w:rsid w:val="00A43DCD"/>
    <w:rsid w:val="00A441D0"/>
    <w:rsid w:val="00A44311"/>
    <w:rsid w:val="00A44CAD"/>
    <w:rsid w:val="00A44F02"/>
    <w:rsid w:val="00A469C9"/>
    <w:rsid w:val="00A46A5A"/>
    <w:rsid w:val="00A479F9"/>
    <w:rsid w:val="00A526FE"/>
    <w:rsid w:val="00A5384E"/>
    <w:rsid w:val="00A53FF2"/>
    <w:rsid w:val="00A545CE"/>
    <w:rsid w:val="00A55239"/>
    <w:rsid w:val="00A5686E"/>
    <w:rsid w:val="00A57FE1"/>
    <w:rsid w:val="00A606CF"/>
    <w:rsid w:val="00A60AFE"/>
    <w:rsid w:val="00A6112B"/>
    <w:rsid w:val="00A6207A"/>
    <w:rsid w:val="00A62815"/>
    <w:rsid w:val="00A63624"/>
    <w:rsid w:val="00A64097"/>
    <w:rsid w:val="00A65FD2"/>
    <w:rsid w:val="00A67096"/>
    <w:rsid w:val="00A71A6B"/>
    <w:rsid w:val="00A7229A"/>
    <w:rsid w:val="00A733D5"/>
    <w:rsid w:val="00A7345C"/>
    <w:rsid w:val="00A73460"/>
    <w:rsid w:val="00A7376E"/>
    <w:rsid w:val="00A73CE6"/>
    <w:rsid w:val="00A74125"/>
    <w:rsid w:val="00A75540"/>
    <w:rsid w:val="00A757E1"/>
    <w:rsid w:val="00A75FC5"/>
    <w:rsid w:val="00A767E0"/>
    <w:rsid w:val="00A76BEA"/>
    <w:rsid w:val="00A7753B"/>
    <w:rsid w:val="00A80364"/>
    <w:rsid w:val="00A824ED"/>
    <w:rsid w:val="00A82876"/>
    <w:rsid w:val="00A82A30"/>
    <w:rsid w:val="00A82FA7"/>
    <w:rsid w:val="00A83331"/>
    <w:rsid w:val="00A83CDE"/>
    <w:rsid w:val="00A848AD"/>
    <w:rsid w:val="00A84EB1"/>
    <w:rsid w:val="00A854D6"/>
    <w:rsid w:val="00A866AC"/>
    <w:rsid w:val="00A87C48"/>
    <w:rsid w:val="00A87F6A"/>
    <w:rsid w:val="00A903D0"/>
    <w:rsid w:val="00A90908"/>
    <w:rsid w:val="00A919E3"/>
    <w:rsid w:val="00A91A7B"/>
    <w:rsid w:val="00A91F44"/>
    <w:rsid w:val="00A923A0"/>
    <w:rsid w:val="00A92B82"/>
    <w:rsid w:val="00A9301A"/>
    <w:rsid w:val="00A93403"/>
    <w:rsid w:val="00A9411C"/>
    <w:rsid w:val="00A94E14"/>
    <w:rsid w:val="00A9522D"/>
    <w:rsid w:val="00A9580A"/>
    <w:rsid w:val="00A95BA3"/>
    <w:rsid w:val="00A9663F"/>
    <w:rsid w:val="00A97191"/>
    <w:rsid w:val="00A97785"/>
    <w:rsid w:val="00A97DFC"/>
    <w:rsid w:val="00AA03A5"/>
    <w:rsid w:val="00AA0600"/>
    <w:rsid w:val="00AA07DD"/>
    <w:rsid w:val="00AA089E"/>
    <w:rsid w:val="00AA0F6A"/>
    <w:rsid w:val="00AA18AD"/>
    <w:rsid w:val="00AA200F"/>
    <w:rsid w:val="00AA2580"/>
    <w:rsid w:val="00AA2667"/>
    <w:rsid w:val="00AA286D"/>
    <w:rsid w:val="00AA2FB8"/>
    <w:rsid w:val="00AA2FF4"/>
    <w:rsid w:val="00AA47E7"/>
    <w:rsid w:val="00AA57A7"/>
    <w:rsid w:val="00AA6044"/>
    <w:rsid w:val="00AA6CC1"/>
    <w:rsid w:val="00AA6CFF"/>
    <w:rsid w:val="00AA6EB0"/>
    <w:rsid w:val="00AB0050"/>
    <w:rsid w:val="00AB01D7"/>
    <w:rsid w:val="00AB0268"/>
    <w:rsid w:val="00AB0A76"/>
    <w:rsid w:val="00AB0B92"/>
    <w:rsid w:val="00AB0DFC"/>
    <w:rsid w:val="00AB0EBE"/>
    <w:rsid w:val="00AB10D9"/>
    <w:rsid w:val="00AB17F9"/>
    <w:rsid w:val="00AB1863"/>
    <w:rsid w:val="00AB18F7"/>
    <w:rsid w:val="00AB39D7"/>
    <w:rsid w:val="00AB3FFA"/>
    <w:rsid w:val="00AB4C7C"/>
    <w:rsid w:val="00AB77B5"/>
    <w:rsid w:val="00AB7806"/>
    <w:rsid w:val="00AC0505"/>
    <w:rsid w:val="00AC1157"/>
    <w:rsid w:val="00AC3E00"/>
    <w:rsid w:val="00AC4003"/>
    <w:rsid w:val="00AC48A1"/>
    <w:rsid w:val="00AC59D3"/>
    <w:rsid w:val="00AC5AC9"/>
    <w:rsid w:val="00AC68AE"/>
    <w:rsid w:val="00AC7590"/>
    <w:rsid w:val="00AC7BB7"/>
    <w:rsid w:val="00AD06AC"/>
    <w:rsid w:val="00AD0E3B"/>
    <w:rsid w:val="00AD0F48"/>
    <w:rsid w:val="00AD13C7"/>
    <w:rsid w:val="00AD1849"/>
    <w:rsid w:val="00AD1B00"/>
    <w:rsid w:val="00AD1C9C"/>
    <w:rsid w:val="00AD2A17"/>
    <w:rsid w:val="00AD2DE0"/>
    <w:rsid w:val="00AD4564"/>
    <w:rsid w:val="00AD55FD"/>
    <w:rsid w:val="00AD63A8"/>
    <w:rsid w:val="00AD7220"/>
    <w:rsid w:val="00AD7C01"/>
    <w:rsid w:val="00AD7CB4"/>
    <w:rsid w:val="00AE02B4"/>
    <w:rsid w:val="00AE0FDE"/>
    <w:rsid w:val="00AE1014"/>
    <w:rsid w:val="00AE1191"/>
    <w:rsid w:val="00AE1FFE"/>
    <w:rsid w:val="00AE246C"/>
    <w:rsid w:val="00AE2F88"/>
    <w:rsid w:val="00AE311D"/>
    <w:rsid w:val="00AE3A96"/>
    <w:rsid w:val="00AE46BC"/>
    <w:rsid w:val="00AE7187"/>
    <w:rsid w:val="00AE7CB8"/>
    <w:rsid w:val="00AF07C1"/>
    <w:rsid w:val="00AF0B9E"/>
    <w:rsid w:val="00AF102A"/>
    <w:rsid w:val="00AF10A3"/>
    <w:rsid w:val="00AF1E5E"/>
    <w:rsid w:val="00AF27AA"/>
    <w:rsid w:val="00AF2CA9"/>
    <w:rsid w:val="00AF30A9"/>
    <w:rsid w:val="00AF3B36"/>
    <w:rsid w:val="00AF48E1"/>
    <w:rsid w:val="00AF4A05"/>
    <w:rsid w:val="00AF5AEA"/>
    <w:rsid w:val="00AF5CA3"/>
    <w:rsid w:val="00AF63CF"/>
    <w:rsid w:val="00AF6444"/>
    <w:rsid w:val="00AF6449"/>
    <w:rsid w:val="00AF6638"/>
    <w:rsid w:val="00AF7481"/>
    <w:rsid w:val="00B007F3"/>
    <w:rsid w:val="00B01248"/>
    <w:rsid w:val="00B013D0"/>
    <w:rsid w:val="00B04343"/>
    <w:rsid w:val="00B04368"/>
    <w:rsid w:val="00B045E4"/>
    <w:rsid w:val="00B04A17"/>
    <w:rsid w:val="00B04ED8"/>
    <w:rsid w:val="00B04FCB"/>
    <w:rsid w:val="00B06338"/>
    <w:rsid w:val="00B067E8"/>
    <w:rsid w:val="00B068E1"/>
    <w:rsid w:val="00B07236"/>
    <w:rsid w:val="00B07D0D"/>
    <w:rsid w:val="00B1079D"/>
    <w:rsid w:val="00B10836"/>
    <w:rsid w:val="00B10BE0"/>
    <w:rsid w:val="00B10DA3"/>
    <w:rsid w:val="00B11C08"/>
    <w:rsid w:val="00B12453"/>
    <w:rsid w:val="00B135EC"/>
    <w:rsid w:val="00B1422A"/>
    <w:rsid w:val="00B15013"/>
    <w:rsid w:val="00B15FAF"/>
    <w:rsid w:val="00B16F50"/>
    <w:rsid w:val="00B17D19"/>
    <w:rsid w:val="00B20281"/>
    <w:rsid w:val="00B207A4"/>
    <w:rsid w:val="00B20D1B"/>
    <w:rsid w:val="00B21B59"/>
    <w:rsid w:val="00B2205F"/>
    <w:rsid w:val="00B23686"/>
    <w:rsid w:val="00B23B35"/>
    <w:rsid w:val="00B24654"/>
    <w:rsid w:val="00B24BED"/>
    <w:rsid w:val="00B252A8"/>
    <w:rsid w:val="00B26209"/>
    <w:rsid w:val="00B26A43"/>
    <w:rsid w:val="00B26C53"/>
    <w:rsid w:val="00B26F51"/>
    <w:rsid w:val="00B30BCF"/>
    <w:rsid w:val="00B313EA"/>
    <w:rsid w:val="00B32DC6"/>
    <w:rsid w:val="00B339C9"/>
    <w:rsid w:val="00B34AB9"/>
    <w:rsid w:val="00B34D44"/>
    <w:rsid w:val="00B353E5"/>
    <w:rsid w:val="00B362FE"/>
    <w:rsid w:val="00B36B6A"/>
    <w:rsid w:val="00B36F58"/>
    <w:rsid w:val="00B40A14"/>
    <w:rsid w:val="00B413AC"/>
    <w:rsid w:val="00B42234"/>
    <w:rsid w:val="00B43C54"/>
    <w:rsid w:val="00B43E8D"/>
    <w:rsid w:val="00B44BE5"/>
    <w:rsid w:val="00B44DAA"/>
    <w:rsid w:val="00B45D36"/>
    <w:rsid w:val="00B45FE5"/>
    <w:rsid w:val="00B46895"/>
    <w:rsid w:val="00B46F27"/>
    <w:rsid w:val="00B47FC3"/>
    <w:rsid w:val="00B50801"/>
    <w:rsid w:val="00B50F40"/>
    <w:rsid w:val="00B50F82"/>
    <w:rsid w:val="00B510C5"/>
    <w:rsid w:val="00B51968"/>
    <w:rsid w:val="00B51BA9"/>
    <w:rsid w:val="00B527D7"/>
    <w:rsid w:val="00B52EAF"/>
    <w:rsid w:val="00B531B8"/>
    <w:rsid w:val="00B544A9"/>
    <w:rsid w:val="00B564E8"/>
    <w:rsid w:val="00B56EEB"/>
    <w:rsid w:val="00B57250"/>
    <w:rsid w:val="00B57784"/>
    <w:rsid w:val="00B60B19"/>
    <w:rsid w:val="00B60F52"/>
    <w:rsid w:val="00B6122A"/>
    <w:rsid w:val="00B61464"/>
    <w:rsid w:val="00B61487"/>
    <w:rsid w:val="00B62D79"/>
    <w:rsid w:val="00B63552"/>
    <w:rsid w:val="00B63930"/>
    <w:rsid w:val="00B639F5"/>
    <w:rsid w:val="00B63FE4"/>
    <w:rsid w:val="00B647B7"/>
    <w:rsid w:val="00B65460"/>
    <w:rsid w:val="00B65713"/>
    <w:rsid w:val="00B659D8"/>
    <w:rsid w:val="00B66EBE"/>
    <w:rsid w:val="00B67D65"/>
    <w:rsid w:val="00B700C2"/>
    <w:rsid w:val="00B70BDC"/>
    <w:rsid w:val="00B70C10"/>
    <w:rsid w:val="00B70C96"/>
    <w:rsid w:val="00B71228"/>
    <w:rsid w:val="00B71611"/>
    <w:rsid w:val="00B73052"/>
    <w:rsid w:val="00B730A6"/>
    <w:rsid w:val="00B73347"/>
    <w:rsid w:val="00B7334C"/>
    <w:rsid w:val="00B73538"/>
    <w:rsid w:val="00B73870"/>
    <w:rsid w:val="00B75816"/>
    <w:rsid w:val="00B75B28"/>
    <w:rsid w:val="00B75D93"/>
    <w:rsid w:val="00B76681"/>
    <w:rsid w:val="00B76E31"/>
    <w:rsid w:val="00B76FD7"/>
    <w:rsid w:val="00B77E16"/>
    <w:rsid w:val="00B80C76"/>
    <w:rsid w:val="00B80E1F"/>
    <w:rsid w:val="00B8154F"/>
    <w:rsid w:val="00B8170E"/>
    <w:rsid w:val="00B819D2"/>
    <w:rsid w:val="00B81F03"/>
    <w:rsid w:val="00B82C39"/>
    <w:rsid w:val="00B82D77"/>
    <w:rsid w:val="00B82E8F"/>
    <w:rsid w:val="00B834E9"/>
    <w:rsid w:val="00B83AB8"/>
    <w:rsid w:val="00B85C1D"/>
    <w:rsid w:val="00B86FD5"/>
    <w:rsid w:val="00B879C8"/>
    <w:rsid w:val="00B87B08"/>
    <w:rsid w:val="00B87B2D"/>
    <w:rsid w:val="00B90825"/>
    <w:rsid w:val="00B90E7B"/>
    <w:rsid w:val="00B912E5"/>
    <w:rsid w:val="00B932CE"/>
    <w:rsid w:val="00B934CB"/>
    <w:rsid w:val="00B93E51"/>
    <w:rsid w:val="00B95055"/>
    <w:rsid w:val="00B962AC"/>
    <w:rsid w:val="00B97B4F"/>
    <w:rsid w:val="00BA0216"/>
    <w:rsid w:val="00BA0482"/>
    <w:rsid w:val="00BA0E2F"/>
    <w:rsid w:val="00BA1339"/>
    <w:rsid w:val="00BA1CBF"/>
    <w:rsid w:val="00BA24DA"/>
    <w:rsid w:val="00BA2A82"/>
    <w:rsid w:val="00BA3668"/>
    <w:rsid w:val="00BA44E2"/>
    <w:rsid w:val="00BA4580"/>
    <w:rsid w:val="00BA4A4E"/>
    <w:rsid w:val="00BA4D26"/>
    <w:rsid w:val="00BA5916"/>
    <w:rsid w:val="00BA5BD0"/>
    <w:rsid w:val="00BA66BF"/>
    <w:rsid w:val="00BA68CD"/>
    <w:rsid w:val="00BA7075"/>
    <w:rsid w:val="00BA7E1F"/>
    <w:rsid w:val="00BB0C6B"/>
    <w:rsid w:val="00BB0F9F"/>
    <w:rsid w:val="00BB2029"/>
    <w:rsid w:val="00BB22A6"/>
    <w:rsid w:val="00BB23AD"/>
    <w:rsid w:val="00BB3E31"/>
    <w:rsid w:val="00BB5AD8"/>
    <w:rsid w:val="00BB5E73"/>
    <w:rsid w:val="00BB66BA"/>
    <w:rsid w:val="00BB70FE"/>
    <w:rsid w:val="00BC0E02"/>
    <w:rsid w:val="00BC10ED"/>
    <w:rsid w:val="00BC125B"/>
    <w:rsid w:val="00BC1626"/>
    <w:rsid w:val="00BC3542"/>
    <w:rsid w:val="00BC3A0E"/>
    <w:rsid w:val="00BC3BC5"/>
    <w:rsid w:val="00BC4851"/>
    <w:rsid w:val="00BC4DF0"/>
    <w:rsid w:val="00BC544D"/>
    <w:rsid w:val="00BC5BAC"/>
    <w:rsid w:val="00BC6392"/>
    <w:rsid w:val="00BC63DA"/>
    <w:rsid w:val="00BC6B7C"/>
    <w:rsid w:val="00BC79B2"/>
    <w:rsid w:val="00BC7DE2"/>
    <w:rsid w:val="00BD010A"/>
    <w:rsid w:val="00BD0BEF"/>
    <w:rsid w:val="00BD156F"/>
    <w:rsid w:val="00BD2FA3"/>
    <w:rsid w:val="00BD3E27"/>
    <w:rsid w:val="00BD4437"/>
    <w:rsid w:val="00BD4617"/>
    <w:rsid w:val="00BD5A29"/>
    <w:rsid w:val="00BD64E5"/>
    <w:rsid w:val="00BD7F56"/>
    <w:rsid w:val="00BE1374"/>
    <w:rsid w:val="00BE16EF"/>
    <w:rsid w:val="00BE1B11"/>
    <w:rsid w:val="00BE224B"/>
    <w:rsid w:val="00BE25D9"/>
    <w:rsid w:val="00BE2CEA"/>
    <w:rsid w:val="00BE2E10"/>
    <w:rsid w:val="00BE3691"/>
    <w:rsid w:val="00BE3AF5"/>
    <w:rsid w:val="00BE42FC"/>
    <w:rsid w:val="00BE5121"/>
    <w:rsid w:val="00BE5E25"/>
    <w:rsid w:val="00BE6B93"/>
    <w:rsid w:val="00BE785E"/>
    <w:rsid w:val="00BF1178"/>
    <w:rsid w:val="00BF2062"/>
    <w:rsid w:val="00BF2E01"/>
    <w:rsid w:val="00BF3580"/>
    <w:rsid w:val="00BF3753"/>
    <w:rsid w:val="00BF3973"/>
    <w:rsid w:val="00BF422A"/>
    <w:rsid w:val="00BF5316"/>
    <w:rsid w:val="00BF598E"/>
    <w:rsid w:val="00BF5DC3"/>
    <w:rsid w:val="00BF6663"/>
    <w:rsid w:val="00BF68E8"/>
    <w:rsid w:val="00BF6BD1"/>
    <w:rsid w:val="00BF73BA"/>
    <w:rsid w:val="00C00409"/>
    <w:rsid w:val="00C01221"/>
    <w:rsid w:val="00C0198C"/>
    <w:rsid w:val="00C04266"/>
    <w:rsid w:val="00C04294"/>
    <w:rsid w:val="00C043B6"/>
    <w:rsid w:val="00C04EBC"/>
    <w:rsid w:val="00C04FAE"/>
    <w:rsid w:val="00C058BD"/>
    <w:rsid w:val="00C06899"/>
    <w:rsid w:val="00C0727F"/>
    <w:rsid w:val="00C105CE"/>
    <w:rsid w:val="00C10B84"/>
    <w:rsid w:val="00C11666"/>
    <w:rsid w:val="00C1178C"/>
    <w:rsid w:val="00C117D8"/>
    <w:rsid w:val="00C11C12"/>
    <w:rsid w:val="00C11EEA"/>
    <w:rsid w:val="00C1216A"/>
    <w:rsid w:val="00C122AA"/>
    <w:rsid w:val="00C1418B"/>
    <w:rsid w:val="00C142BC"/>
    <w:rsid w:val="00C14672"/>
    <w:rsid w:val="00C15030"/>
    <w:rsid w:val="00C1582E"/>
    <w:rsid w:val="00C15A08"/>
    <w:rsid w:val="00C15A7B"/>
    <w:rsid w:val="00C15DC0"/>
    <w:rsid w:val="00C1772F"/>
    <w:rsid w:val="00C2037B"/>
    <w:rsid w:val="00C2083F"/>
    <w:rsid w:val="00C20D3A"/>
    <w:rsid w:val="00C20E49"/>
    <w:rsid w:val="00C214E0"/>
    <w:rsid w:val="00C21C43"/>
    <w:rsid w:val="00C224F5"/>
    <w:rsid w:val="00C23A39"/>
    <w:rsid w:val="00C23D0F"/>
    <w:rsid w:val="00C23EB8"/>
    <w:rsid w:val="00C24027"/>
    <w:rsid w:val="00C2413E"/>
    <w:rsid w:val="00C26BAC"/>
    <w:rsid w:val="00C30B21"/>
    <w:rsid w:val="00C311F6"/>
    <w:rsid w:val="00C3132E"/>
    <w:rsid w:val="00C318FE"/>
    <w:rsid w:val="00C31C3F"/>
    <w:rsid w:val="00C32110"/>
    <w:rsid w:val="00C349B7"/>
    <w:rsid w:val="00C35102"/>
    <w:rsid w:val="00C35C1B"/>
    <w:rsid w:val="00C41861"/>
    <w:rsid w:val="00C41A7A"/>
    <w:rsid w:val="00C41EF9"/>
    <w:rsid w:val="00C430B0"/>
    <w:rsid w:val="00C4349B"/>
    <w:rsid w:val="00C4388D"/>
    <w:rsid w:val="00C43D07"/>
    <w:rsid w:val="00C44A40"/>
    <w:rsid w:val="00C44B7B"/>
    <w:rsid w:val="00C44BC7"/>
    <w:rsid w:val="00C44C6D"/>
    <w:rsid w:val="00C45BA7"/>
    <w:rsid w:val="00C45E53"/>
    <w:rsid w:val="00C46F73"/>
    <w:rsid w:val="00C47890"/>
    <w:rsid w:val="00C47CFF"/>
    <w:rsid w:val="00C47FDD"/>
    <w:rsid w:val="00C5032B"/>
    <w:rsid w:val="00C503EC"/>
    <w:rsid w:val="00C50886"/>
    <w:rsid w:val="00C52F4B"/>
    <w:rsid w:val="00C53761"/>
    <w:rsid w:val="00C53E73"/>
    <w:rsid w:val="00C5608A"/>
    <w:rsid w:val="00C5728D"/>
    <w:rsid w:val="00C577C9"/>
    <w:rsid w:val="00C57C0F"/>
    <w:rsid w:val="00C60C3E"/>
    <w:rsid w:val="00C614E8"/>
    <w:rsid w:val="00C6191E"/>
    <w:rsid w:val="00C62166"/>
    <w:rsid w:val="00C62A6B"/>
    <w:rsid w:val="00C62C36"/>
    <w:rsid w:val="00C62D18"/>
    <w:rsid w:val="00C62FB9"/>
    <w:rsid w:val="00C636F7"/>
    <w:rsid w:val="00C63D31"/>
    <w:rsid w:val="00C641A4"/>
    <w:rsid w:val="00C647D5"/>
    <w:rsid w:val="00C66B59"/>
    <w:rsid w:val="00C66D1C"/>
    <w:rsid w:val="00C67628"/>
    <w:rsid w:val="00C67796"/>
    <w:rsid w:val="00C70523"/>
    <w:rsid w:val="00C70E60"/>
    <w:rsid w:val="00C7115A"/>
    <w:rsid w:val="00C721B3"/>
    <w:rsid w:val="00C722DE"/>
    <w:rsid w:val="00C727F1"/>
    <w:rsid w:val="00C72BFC"/>
    <w:rsid w:val="00C74648"/>
    <w:rsid w:val="00C748AC"/>
    <w:rsid w:val="00C748EF"/>
    <w:rsid w:val="00C75B97"/>
    <w:rsid w:val="00C75BE9"/>
    <w:rsid w:val="00C7657F"/>
    <w:rsid w:val="00C76913"/>
    <w:rsid w:val="00C7739E"/>
    <w:rsid w:val="00C812C7"/>
    <w:rsid w:val="00C812FB"/>
    <w:rsid w:val="00C825FB"/>
    <w:rsid w:val="00C828E6"/>
    <w:rsid w:val="00C82F84"/>
    <w:rsid w:val="00C8312A"/>
    <w:rsid w:val="00C83E7F"/>
    <w:rsid w:val="00C83F3E"/>
    <w:rsid w:val="00C8563C"/>
    <w:rsid w:val="00C85F6F"/>
    <w:rsid w:val="00C864F2"/>
    <w:rsid w:val="00C86C80"/>
    <w:rsid w:val="00C86E8D"/>
    <w:rsid w:val="00C8777E"/>
    <w:rsid w:val="00C8783E"/>
    <w:rsid w:val="00C87D2C"/>
    <w:rsid w:val="00C87EF6"/>
    <w:rsid w:val="00C9083B"/>
    <w:rsid w:val="00C90889"/>
    <w:rsid w:val="00C90B4C"/>
    <w:rsid w:val="00C913E6"/>
    <w:rsid w:val="00C92101"/>
    <w:rsid w:val="00C92E44"/>
    <w:rsid w:val="00C955B4"/>
    <w:rsid w:val="00C9687B"/>
    <w:rsid w:val="00C96C1D"/>
    <w:rsid w:val="00CA1356"/>
    <w:rsid w:val="00CA17DC"/>
    <w:rsid w:val="00CA1840"/>
    <w:rsid w:val="00CA1F51"/>
    <w:rsid w:val="00CA2D22"/>
    <w:rsid w:val="00CA33EF"/>
    <w:rsid w:val="00CA35A0"/>
    <w:rsid w:val="00CA3C12"/>
    <w:rsid w:val="00CA3D61"/>
    <w:rsid w:val="00CA5823"/>
    <w:rsid w:val="00CA63DB"/>
    <w:rsid w:val="00CA64D9"/>
    <w:rsid w:val="00CA6C41"/>
    <w:rsid w:val="00CA7D4E"/>
    <w:rsid w:val="00CB0652"/>
    <w:rsid w:val="00CB07D1"/>
    <w:rsid w:val="00CB1166"/>
    <w:rsid w:val="00CB341D"/>
    <w:rsid w:val="00CB353F"/>
    <w:rsid w:val="00CB377D"/>
    <w:rsid w:val="00CB3945"/>
    <w:rsid w:val="00CB59CB"/>
    <w:rsid w:val="00CB5C95"/>
    <w:rsid w:val="00CB64CD"/>
    <w:rsid w:val="00CB66BD"/>
    <w:rsid w:val="00CB7628"/>
    <w:rsid w:val="00CC1006"/>
    <w:rsid w:val="00CC18A6"/>
    <w:rsid w:val="00CC1F46"/>
    <w:rsid w:val="00CC2369"/>
    <w:rsid w:val="00CC297C"/>
    <w:rsid w:val="00CC2A63"/>
    <w:rsid w:val="00CC2EAF"/>
    <w:rsid w:val="00CC4133"/>
    <w:rsid w:val="00CC5268"/>
    <w:rsid w:val="00CC526E"/>
    <w:rsid w:val="00CC5BAD"/>
    <w:rsid w:val="00CC5DB6"/>
    <w:rsid w:val="00CC72D0"/>
    <w:rsid w:val="00CD064E"/>
    <w:rsid w:val="00CD0BCB"/>
    <w:rsid w:val="00CD14B8"/>
    <w:rsid w:val="00CD312C"/>
    <w:rsid w:val="00CD38B3"/>
    <w:rsid w:val="00CD390A"/>
    <w:rsid w:val="00CD43D5"/>
    <w:rsid w:val="00CD5A57"/>
    <w:rsid w:val="00CD757F"/>
    <w:rsid w:val="00CD765B"/>
    <w:rsid w:val="00CD7DD2"/>
    <w:rsid w:val="00CE063F"/>
    <w:rsid w:val="00CE0DA3"/>
    <w:rsid w:val="00CE217F"/>
    <w:rsid w:val="00CE3AB4"/>
    <w:rsid w:val="00CE4659"/>
    <w:rsid w:val="00CE4F8B"/>
    <w:rsid w:val="00CE548A"/>
    <w:rsid w:val="00CE560A"/>
    <w:rsid w:val="00CE5AF9"/>
    <w:rsid w:val="00CE5B53"/>
    <w:rsid w:val="00CE678B"/>
    <w:rsid w:val="00CE7B1B"/>
    <w:rsid w:val="00CE7E4B"/>
    <w:rsid w:val="00CF0CF3"/>
    <w:rsid w:val="00CF0DB1"/>
    <w:rsid w:val="00CF1F8D"/>
    <w:rsid w:val="00CF278B"/>
    <w:rsid w:val="00CF2869"/>
    <w:rsid w:val="00CF2D16"/>
    <w:rsid w:val="00CF36DC"/>
    <w:rsid w:val="00CF624B"/>
    <w:rsid w:val="00CF630F"/>
    <w:rsid w:val="00CF649D"/>
    <w:rsid w:val="00CF64E7"/>
    <w:rsid w:val="00CF6623"/>
    <w:rsid w:val="00CF75D6"/>
    <w:rsid w:val="00CF76D5"/>
    <w:rsid w:val="00D002D4"/>
    <w:rsid w:val="00D0050D"/>
    <w:rsid w:val="00D00845"/>
    <w:rsid w:val="00D00F69"/>
    <w:rsid w:val="00D02A4F"/>
    <w:rsid w:val="00D034A4"/>
    <w:rsid w:val="00D036B8"/>
    <w:rsid w:val="00D0383D"/>
    <w:rsid w:val="00D03F05"/>
    <w:rsid w:val="00D0414C"/>
    <w:rsid w:val="00D045E6"/>
    <w:rsid w:val="00D04A75"/>
    <w:rsid w:val="00D05C79"/>
    <w:rsid w:val="00D06170"/>
    <w:rsid w:val="00D06C0E"/>
    <w:rsid w:val="00D07AAD"/>
    <w:rsid w:val="00D11ED2"/>
    <w:rsid w:val="00D12497"/>
    <w:rsid w:val="00D13DA8"/>
    <w:rsid w:val="00D13E7B"/>
    <w:rsid w:val="00D15F46"/>
    <w:rsid w:val="00D16DC7"/>
    <w:rsid w:val="00D17427"/>
    <w:rsid w:val="00D20108"/>
    <w:rsid w:val="00D21FEB"/>
    <w:rsid w:val="00D23061"/>
    <w:rsid w:val="00D248A6"/>
    <w:rsid w:val="00D24BF7"/>
    <w:rsid w:val="00D24C3A"/>
    <w:rsid w:val="00D25B51"/>
    <w:rsid w:val="00D26D24"/>
    <w:rsid w:val="00D30202"/>
    <w:rsid w:val="00D31510"/>
    <w:rsid w:val="00D3300B"/>
    <w:rsid w:val="00D3438F"/>
    <w:rsid w:val="00D3502F"/>
    <w:rsid w:val="00D36A75"/>
    <w:rsid w:val="00D36F1F"/>
    <w:rsid w:val="00D36F25"/>
    <w:rsid w:val="00D36FF2"/>
    <w:rsid w:val="00D373FE"/>
    <w:rsid w:val="00D4093C"/>
    <w:rsid w:val="00D40B40"/>
    <w:rsid w:val="00D41EBC"/>
    <w:rsid w:val="00D42EF7"/>
    <w:rsid w:val="00D43253"/>
    <w:rsid w:val="00D43A6D"/>
    <w:rsid w:val="00D43C5C"/>
    <w:rsid w:val="00D445F4"/>
    <w:rsid w:val="00D44E07"/>
    <w:rsid w:val="00D4560F"/>
    <w:rsid w:val="00D469D5"/>
    <w:rsid w:val="00D46ED5"/>
    <w:rsid w:val="00D47D76"/>
    <w:rsid w:val="00D5114D"/>
    <w:rsid w:val="00D51452"/>
    <w:rsid w:val="00D51C99"/>
    <w:rsid w:val="00D5209D"/>
    <w:rsid w:val="00D525B1"/>
    <w:rsid w:val="00D53336"/>
    <w:rsid w:val="00D56727"/>
    <w:rsid w:val="00D56F4C"/>
    <w:rsid w:val="00D574D8"/>
    <w:rsid w:val="00D57DEB"/>
    <w:rsid w:val="00D60FDF"/>
    <w:rsid w:val="00D619D6"/>
    <w:rsid w:val="00D634EB"/>
    <w:rsid w:val="00D6424B"/>
    <w:rsid w:val="00D65347"/>
    <w:rsid w:val="00D654B3"/>
    <w:rsid w:val="00D65820"/>
    <w:rsid w:val="00D65946"/>
    <w:rsid w:val="00D65D60"/>
    <w:rsid w:val="00D66197"/>
    <w:rsid w:val="00D6633F"/>
    <w:rsid w:val="00D66428"/>
    <w:rsid w:val="00D670B4"/>
    <w:rsid w:val="00D7071F"/>
    <w:rsid w:val="00D71174"/>
    <w:rsid w:val="00D7119D"/>
    <w:rsid w:val="00D71D22"/>
    <w:rsid w:val="00D72441"/>
    <w:rsid w:val="00D75CDF"/>
    <w:rsid w:val="00D7694B"/>
    <w:rsid w:val="00D801A7"/>
    <w:rsid w:val="00D8030E"/>
    <w:rsid w:val="00D809FE"/>
    <w:rsid w:val="00D80B5D"/>
    <w:rsid w:val="00D8100A"/>
    <w:rsid w:val="00D81470"/>
    <w:rsid w:val="00D81E3C"/>
    <w:rsid w:val="00D825BE"/>
    <w:rsid w:val="00D83500"/>
    <w:rsid w:val="00D8370B"/>
    <w:rsid w:val="00D83B00"/>
    <w:rsid w:val="00D83C2C"/>
    <w:rsid w:val="00D84153"/>
    <w:rsid w:val="00D84505"/>
    <w:rsid w:val="00D84D70"/>
    <w:rsid w:val="00D85771"/>
    <w:rsid w:val="00D85FDD"/>
    <w:rsid w:val="00D86772"/>
    <w:rsid w:val="00D86F77"/>
    <w:rsid w:val="00D90228"/>
    <w:rsid w:val="00D9122D"/>
    <w:rsid w:val="00D91992"/>
    <w:rsid w:val="00D92A2E"/>
    <w:rsid w:val="00D9357D"/>
    <w:rsid w:val="00D94011"/>
    <w:rsid w:val="00D94866"/>
    <w:rsid w:val="00D951CE"/>
    <w:rsid w:val="00D95794"/>
    <w:rsid w:val="00D95B91"/>
    <w:rsid w:val="00D95F67"/>
    <w:rsid w:val="00D96E19"/>
    <w:rsid w:val="00D9738C"/>
    <w:rsid w:val="00D978CF"/>
    <w:rsid w:val="00D9790F"/>
    <w:rsid w:val="00D97BBD"/>
    <w:rsid w:val="00DA1D0C"/>
    <w:rsid w:val="00DA2410"/>
    <w:rsid w:val="00DA4536"/>
    <w:rsid w:val="00DA4C0E"/>
    <w:rsid w:val="00DA4C1F"/>
    <w:rsid w:val="00DA4C41"/>
    <w:rsid w:val="00DA502D"/>
    <w:rsid w:val="00DA593E"/>
    <w:rsid w:val="00DA6463"/>
    <w:rsid w:val="00DA65AE"/>
    <w:rsid w:val="00DA6D57"/>
    <w:rsid w:val="00DA7AF2"/>
    <w:rsid w:val="00DA7DB3"/>
    <w:rsid w:val="00DB0682"/>
    <w:rsid w:val="00DB0A59"/>
    <w:rsid w:val="00DB0B91"/>
    <w:rsid w:val="00DB0CB5"/>
    <w:rsid w:val="00DB0D32"/>
    <w:rsid w:val="00DB0FF7"/>
    <w:rsid w:val="00DB1636"/>
    <w:rsid w:val="00DB240D"/>
    <w:rsid w:val="00DB33E0"/>
    <w:rsid w:val="00DB3E67"/>
    <w:rsid w:val="00DB4422"/>
    <w:rsid w:val="00DB53C4"/>
    <w:rsid w:val="00DB5602"/>
    <w:rsid w:val="00DB5A7B"/>
    <w:rsid w:val="00DB5B34"/>
    <w:rsid w:val="00DB6C15"/>
    <w:rsid w:val="00DB6C18"/>
    <w:rsid w:val="00DB7DE3"/>
    <w:rsid w:val="00DC0335"/>
    <w:rsid w:val="00DC0C97"/>
    <w:rsid w:val="00DC1058"/>
    <w:rsid w:val="00DC133D"/>
    <w:rsid w:val="00DC1ADE"/>
    <w:rsid w:val="00DC24AA"/>
    <w:rsid w:val="00DC2A77"/>
    <w:rsid w:val="00DC43F1"/>
    <w:rsid w:val="00DC4736"/>
    <w:rsid w:val="00DC48CC"/>
    <w:rsid w:val="00DC49C1"/>
    <w:rsid w:val="00DC4EC0"/>
    <w:rsid w:val="00DC4F6E"/>
    <w:rsid w:val="00DC4FF0"/>
    <w:rsid w:val="00DC52B4"/>
    <w:rsid w:val="00DC5355"/>
    <w:rsid w:val="00DC5CC5"/>
    <w:rsid w:val="00DC681F"/>
    <w:rsid w:val="00DC74AB"/>
    <w:rsid w:val="00DC75D0"/>
    <w:rsid w:val="00DC7822"/>
    <w:rsid w:val="00DD0915"/>
    <w:rsid w:val="00DD1101"/>
    <w:rsid w:val="00DD1DBF"/>
    <w:rsid w:val="00DD2495"/>
    <w:rsid w:val="00DD286B"/>
    <w:rsid w:val="00DD2DB1"/>
    <w:rsid w:val="00DD41B6"/>
    <w:rsid w:val="00DD43AD"/>
    <w:rsid w:val="00DD4C38"/>
    <w:rsid w:val="00DD4FE3"/>
    <w:rsid w:val="00DD54C1"/>
    <w:rsid w:val="00DD6304"/>
    <w:rsid w:val="00DD63A9"/>
    <w:rsid w:val="00DD729F"/>
    <w:rsid w:val="00DD76D9"/>
    <w:rsid w:val="00DD7F89"/>
    <w:rsid w:val="00DE0688"/>
    <w:rsid w:val="00DE0B87"/>
    <w:rsid w:val="00DE15D2"/>
    <w:rsid w:val="00DE17FA"/>
    <w:rsid w:val="00DE1BCA"/>
    <w:rsid w:val="00DE2443"/>
    <w:rsid w:val="00DE24D5"/>
    <w:rsid w:val="00DE2BD3"/>
    <w:rsid w:val="00DE2CB9"/>
    <w:rsid w:val="00DE2E95"/>
    <w:rsid w:val="00DE303A"/>
    <w:rsid w:val="00DE495D"/>
    <w:rsid w:val="00DE5047"/>
    <w:rsid w:val="00DE57DA"/>
    <w:rsid w:val="00DE621D"/>
    <w:rsid w:val="00DF0640"/>
    <w:rsid w:val="00DF0A2B"/>
    <w:rsid w:val="00DF0E34"/>
    <w:rsid w:val="00DF1C99"/>
    <w:rsid w:val="00DF26A5"/>
    <w:rsid w:val="00DF28E4"/>
    <w:rsid w:val="00DF369C"/>
    <w:rsid w:val="00DF3F42"/>
    <w:rsid w:val="00DF4037"/>
    <w:rsid w:val="00DF5033"/>
    <w:rsid w:val="00DF5983"/>
    <w:rsid w:val="00DF6395"/>
    <w:rsid w:val="00DF672D"/>
    <w:rsid w:val="00DF6EFD"/>
    <w:rsid w:val="00DF74F7"/>
    <w:rsid w:val="00E006BE"/>
    <w:rsid w:val="00E01035"/>
    <w:rsid w:val="00E0120F"/>
    <w:rsid w:val="00E023EF"/>
    <w:rsid w:val="00E02596"/>
    <w:rsid w:val="00E027E1"/>
    <w:rsid w:val="00E02CAB"/>
    <w:rsid w:val="00E03E6C"/>
    <w:rsid w:val="00E041C9"/>
    <w:rsid w:val="00E04201"/>
    <w:rsid w:val="00E0427D"/>
    <w:rsid w:val="00E042FB"/>
    <w:rsid w:val="00E0509B"/>
    <w:rsid w:val="00E054B5"/>
    <w:rsid w:val="00E05C8F"/>
    <w:rsid w:val="00E05D96"/>
    <w:rsid w:val="00E05DC9"/>
    <w:rsid w:val="00E061A0"/>
    <w:rsid w:val="00E06265"/>
    <w:rsid w:val="00E06492"/>
    <w:rsid w:val="00E06918"/>
    <w:rsid w:val="00E06A8B"/>
    <w:rsid w:val="00E075A7"/>
    <w:rsid w:val="00E1052D"/>
    <w:rsid w:val="00E108FA"/>
    <w:rsid w:val="00E1156A"/>
    <w:rsid w:val="00E116D3"/>
    <w:rsid w:val="00E11911"/>
    <w:rsid w:val="00E1317C"/>
    <w:rsid w:val="00E13473"/>
    <w:rsid w:val="00E137EA"/>
    <w:rsid w:val="00E14110"/>
    <w:rsid w:val="00E14DA5"/>
    <w:rsid w:val="00E15452"/>
    <w:rsid w:val="00E15BE7"/>
    <w:rsid w:val="00E15CFF"/>
    <w:rsid w:val="00E1602E"/>
    <w:rsid w:val="00E1634A"/>
    <w:rsid w:val="00E16B46"/>
    <w:rsid w:val="00E1740B"/>
    <w:rsid w:val="00E17F7F"/>
    <w:rsid w:val="00E20613"/>
    <w:rsid w:val="00E213AD"/>
    <w:rsid w:val="00E214EE"/>
    <w:rsid w:val="00E23703"/>
    <w:rsid w:val="00E2445F"/>
    <w:rsid w:val="00E24C02"/>
    <w:rsid w:val="00E252A1"/>
    <w:rsid w:val="00E2624B"/>
    <w:rsid w:val="00E26EFA"/>
    <w:rsid w:val="00E2709E"/>
    <w:rsid w:val="00E300CE"/>
    <w:rsid w:val="00E30B99"/>
    <w:rsid w:val="00E31829"/>
    <w:rsid w:val="00E31B33"/>
    <w:rsid w:val="00E32290"/>
    <w:rsid w:val="00E32915"/>
    <w:rsid w:val="00E3334A"/>
    <w:rsid w:val="00E34809"/>
    <w:rsid w:val="00E35BA7"/>
    <w:rsid w:val="00E36C57"/>
    <w:rsid w:val="00E373BC"/>
    <w:rsid w:val="00E37F2E"/>
    <w:rsid w:val="00E4010A"/>
    <w:rsid w:val="00E40DA4"/>
    <w:rsid w:val="00E40F7B"/>
    <w:rsid w:val="00E41C5E"/>
    <w:rsid w:val="00E42B1D"/>
    <w:rsid w:val="00E42C62"/>
    <w:rsid w:val="00E42C7D"/>
    <w:rsid w:val="00E42F94"/>
    <w:rsid w:val="00E43631"/>
    <w:rsid w:val="00E456FA"/>
    <w:rsid w:val="00E50213"/>
    <w:rsid w:val="00E502FA"/>
    <w:rsid w:val="00E5035A"/>
    <w:rsid w:val="00E50BF8"/>
    <w:rsid w:val="00E51A69"/>
    <w:rsid w:val="00E5351F"/>
    <w:rsid w:val="00E5485F"/>
    <w:rsid w:val="00E55545"/>
    <w:rsid w:val="00E56AF9"/>
    <w:rsid w:val="00E57054"/>
    <w:rsid w:val="00E57070"/>
    <w:rsid w:val="00E60C38"/>
    <w:rsid w:val="00E60DDF"/>
    <w:rsid w:val="00E60EC3"/>
    <w:rsid w:val="00E616D9"/>
    <w:rsid w:val="00E61C4D"/>
    <w:rsid w:val="00E622AA"/>
    <w:rsid w:val="00E62670"/>
    <w:rsid w:val="00E64BBD"/>
    <w:rsid w:val="00E66322"/>
    <w:rsid w:val="00E66F69"/>
    <w:rsid w:val="00E6701F"/>
    <w:rsid w:val="00E67E40"/>
    <w:rsid w:val="00E709F0"/>
    <w:rsid w:val="00E70C4C"/>
    <w:rsid w:val="00E71BD6"/>
    <w:rsid w:val="00E73028"/>
    <w:rsid w:val="00E739A0"/>
    <w:rsid w:val="00E73D7B"/>
    <w:rsid w:val="00E74762"/>
    <w:rsid w:val="00E7485F"/>
    <w:rsid w:val="00E75B67"/>
    <w:rsid w:val="00E76243"/>
    <w:rsid w:val="00E763A5"/>
    <w:rsid w:val="00E76D65"/>
    <w:rsid w:val="00E774B3"/>
    <w:rsid w:val="00E81293"/>
    <w:rsid w:val="00E81C7E"/>
    <w:rsid w:val="00E82431"/>
    <w:rsid w:val="00E82735"/>
    <w:rsid w:val="00E84F2B"/>
    <w:rsid w:val="00E85006"/>
    <w:rsid w:val="00E8655F"/>
    <w:rsid w:val="00E86B59"/>
    <w:rsid w:val="00E87EC8"/>
    <w:rsid w:val="00E91934"/>
    <w:rsid w:val="00E926B1"/>
    <w:rsid w:val="00E9328B"/>
    <w:rsid w:val="00E9425C"/>
    <w:rsid w:val="00E949B0"/>
    <w:rsid w:val="00E975FD"/>
    <w:rsid w:val="00E97A2D"/>
    <w:rsid w:val="00E97E2C"/>
    <w:rsid w:val="00EA0976"/>
    <w:rsid w:val="00EA2A72"/>
    <w:rsid w:val="00EA2C2C"/>
    <w:rsid w:val="00EA37B9"/>
    <w:rsid w:val="00EA4F12"/>
    <w:rsid w:val="00EA628C"/>
    <w:rsid w:val="00EA6356"/>
    <w:rsid w:val="00EA6A89"/>
    <w:rsid w:val="00EA6E72"/>
    <w:rsid w:val="00EB058E"/>
    <w:rsid w:val="00EB0A72"/>
    <w:rsid w:val="00EB1BC0"/>
    <w:rsid w:val="00EB2A59"/>
    <w:rsid w:val="00EB326A"/>
    <w:rsid w:val="00EB3575"/>
    <w:rsid w:val="00EB3666"/>
    <w:rsid w:val="00EB4848"/>
    <w:rsid w:val="00EB5358"/>
    <w:rsid w:val="00EB54CC"/>
    <w:rsid w:val="00EB662B"/>
    <w:rsid w:val="00EB7186"/>
    <w:rsid w:val="00EB7AD3"/>
    <w:rsid w:val="00EC0A6F"/>
    <w:rsid w:val="00EC0B74"/>
    <w:rsid w:val="00EC100E"/>
    <w:rsid w:val="00EC2F7D"/>
    <w:rsid w:val="00EC5154"/>
    <w:rsid w:val="00EC532E"/>
    <w:rsid w:val="00EC6556"/>
    <w:rsid w:val="00EC68CA"/>
    <w:rsid w:val="00EC6B9B"/>
    <w:rsid w:val="00ED00A9"/>
    <w:rsid w:val="00ED0439"/>
    <w:rsid w:val="00ED043C"/>
    <w:rsid w:val="00ED1CED"/>
    <w:rsid w:val="00ED1D77"/>
    <w:rsid w:val="00ED231F"/>
    <w:rsid w:val="00ED3234"/>
    <w:rsid w:val="00ED350B"/>
    <w:rsid w:val="00ED521B"/>
    <w:rsid w:val="00ED565D"/>
    <w:rsid w:val="00ED673E"/>
    <w:rsid w:val="00EE0B79"/>
    <w:rsid w:val="00EE21C8"/>
    <w:rsid w:val="00EE2249"/>
    <w:rsid w:val="00EE23AE"/>
    <w:rsid w:val="00EE2453"/>
    <w:rsid w:val="00EE2D23"/>
    <w:rsid w:val="00EE2F34"/>
    <w:rsid w:val="00EE3964"/>
    <w:rsid w:val="00EE3C7C"/>
    <w:rsid w:val="00EE3F10"/>
    <w:rsid w:val="00EE3F7A"/>
    <w:rsid w:val="00EE3FC1"/>
    <w:rsid w:val="00EE5112"/>
    <w:rsid w:val="00EE51EF"/>
    <w:rsid w:val="00EE6A4F"/>
    <w:rsid w:val="00EE7206"/>
    <w:rsid w:val="00EE7993"/>
    <w:rsid w:val="00EE7A7E"/>
    <w:rsid w:val="00EE7B26"/>
    <w:rsid w:val="00EF00EF"/>
    <w:rsid w:val="00EF0BB8"/>
    <w:rsid w:val="00EF0DCF"/>
    <w:rsid w:val="00EF0FCC"/>
    <w:rsid w:val="00EF21FF"/>
    <w:rsid w:val="00EF255B"/>
    <w:rsid w:val="00EF2836"/>
    <w:rsid w:val="00EF2FCB"/>
    <w:rsid w:val="00EF4140"/>
    <w:rsid w:val="00EF4329"/>
    <w:rsid w:val="00EF56C9"/>
    <w:rsid w:val="00EF586C"/>
    <w:rsid w:val="00EF6875"/>
    <w:rsid w:val="00EF6B36"/>
    <w:rsid w:val="00EF6BB7"/>
    <w:rsid w:val="00EF748F"/>
    <w:rsid w:val="00EF761A"/>
    <w:rsid w:val="00EF7E4A"/>
    <w:rsid w:val="00F001E1"/>
    <w:rsid w:val="00F00A68"/>
    <w:rsid w:val="00F00B29"/>
    <w:rsid w:val="00F00D91"/>
    <w:rsid w:val="00F01E50"/>
    <w:rsid w:val="00F02436"/>
    <w:rsid w:val="00F02F23"/>
    <w:rsid w:val="00F031B9"/>
    <w:rsid w:val="00F033E2"/>
    <w:rsid w:val="00F03699"/>
    <w:rsid w:val="00F03E43"/>
    <w:rsid w:val="00F04599"/>
    <w:rsid w:val="00F046D1"/>
    <w:rsid w:val="00F051B8"/>
    <w:rsid w:val="00F05436"/>
    <w:rsid w:val="00F056D1"/>
    <w:rsid w:val="00F05D96"/>
    <w:rsid w:val="00F06074"/>
    <w:rsid w:val="00F067FA"/>
    <w:rsid w:val="00F06FC1"/>
    <w:rsid w:val="00F07172"/>
    <w:rsid w:val="00F0775A"/>
    <w:rsid w:val="00F07A7C"/>
    <w:rsid w:val="00F10EB6"/>
    <w:rsid w:val="00F11078"/>
    <w:rsid w:val="00F122A7"/>
    <w:rsid w:val="00F128EB"/>
    <w:rsid w:val="00F1344B"/>
    <w:rsid w:val="00F138C7"/>
    <w:rsid w:val="00F13BC7"/>
    <w:rsid w:val="00F1465C"/>
    <w:rsid w:val="00F1477D"/>
    <w:rsid w:val="00F14EC4"/>
    <w:rsid w:val="00F168CD"/>
    <w:rsid w:val="00F16B4D"/>
    <w:rsid w:val="00F16C91"/>
    <w:rsid w:val="00F172C7"/>
    <w:rsid w:val="00F17585"/>
    <w:rsid w:val="00F205AB"/>
    <w:rsid w:val="00F2070A"/>
    <w:rsid w:val="00F22B58"/>
    <w:rsid w:val="00F23309"/>
    <w:rsid w:val="00F264B9"/>
    <w:rsid w:val="00F26564"/>
    <w:rsid w:val="00F26CC5"/>
    <w:rsid w:val="00F331ED"/>
    <w:rsid w:val="00F33257"/>
    <w:rsid w:val="00F33592"/>
    <w:rsid w:val="00F33598"/>
    <w:rsid w:val="00F3418C"/>
    <w:rsid w:val="00F35B0E"/>
    <w:rsid w:val="00F3619E"/>
    <w:rsid w:val="00F3663F"/>
    <w:rsid w:val="00F366E1"/>
    <w:rsid w:val="00F36C72"/>
    <w:rsid w:val="00F37968"/>
    <w:rsid w:val="00F37D21"/>
    <w:rsid w:val="00F41BD3"/>
    <w:rsid w:val="00F420EC"/>
    <w:rsid w:val="00F4217E"/>
    <w:rsid w:val="00F4220D"/>
    <w:rsid w:val="00F424F0"/>
    <w:rsid w:val="00F427E4"/>
    <w:rsid w:val="00F428D5"/>
    <w:rsid w:val="00F4312A"/>
    <w:rsid w:val="00F4317B"/>
    <w:rsid w:val="00F431F3"/>
    <w:rsid w:val="00F43755"/>
    <w:rsid w:val="00F45AEE"/>
    <w:rsid w:val="00F46277"/>
    <w:rsid w:val="00F46ACD"/>
    <w:rsid w:val="00F46E65"/>
    <w:rsid w:val="00F47072"/>
    <w:rsid w:val="00F47572"/>
    <w:rsid w:val="00F47C74"/>
    <w:rsid w:val="00F50755"/>
    <w:rsid w:val="00F50B7E"/>
    <w:rsid w:val="00F51336"/>
    <w:rsid w:val="00F5271D"/>
    <w:rsid w:val="00F53293"/>
    <w:rsid w:val="00F5364A"/>
    <w:rsid w:val="00F536A1"/>
    <w:rsid w:val="00F53718"/>
    <w:rsid w:val="00F53E06"/>
    <w:rsid w:val="00F54875"/>
    <w:rsid w:val="00F55CB5"/>
    <w:rsid w:val="00F55DCD"/>
    <w:rsid w:val="00F56699"/>
    <w:rsid w:val="00F6065E"/>
    <w:rsid w:val="00F6153A"/>
    <w:rsid w:val="00F617CC"/>
    <w:rsid w:val="00F618E1"/>
    <w:rsid w:val="00F61A8D"/>
    <w:rsid w:val="00F62CE2"/>
    <w:rsid w:val="00F632B5"/>
    <w:rsid w:val="00F63720"/>
    <w:rsid w:val="00F63A98"/>
    <w:rsid w:val="00F63D4D"/>
    <w:rsid w:val="00F63E58"/>
    <w:rsid w:val="00F63F2A"/>
    <w:rsid w:val="00F64322"/>
    <w:rsid w:val="00F6469F"/>
    <w:rsid w:val="00F646DD"/>
    <w:rsid w:val="00F64ECE"/>
    <w:rsid w:val="00F65BF8"/>
    <w:rsid w:val="00F66146"/>
    <w:rsid w:val="00F662C4"/>
    <w:rsid w:val="00F66C94"/>
    <w:rsid w:val="00F700D9"/>
    <w:rsid w:val="00F70695"/>
    <w:rsid w:val="00F71DF5"/>
    <w:rsid w:val="00F720C3"/>
    <w:rsid w:val="00F7271F"/>
    <w:rsid w:val="00F7282B"/>
    <w:rsid w:val="00F73814"/>
    <w:rsid w:val="00F739DE"/>
    <w:rsid w:val="00F73D60"/>
    <w:rsid w:val="00F75D53"/>
    <w:rsid w:val="00F75EF2"/>
    <w:rsid w:val="00F76171"/>
    <w:rsid w:val="00F762C0"/>
    <w:rsid w:val="00F7696D"/>
    <w:rsid w:val="00F769C9"/>
    <w:rsid w:val="00F76FC8"/>
    <w:rsid w:val="00F80D69"/>
    <w:rsid w:val="00F818EC"/>
    <w:rsid w:val="00F81B9F"/>
    <w:rsid w:val="00F81C78"/>
    <w:rsid w:val="00F81CBC"/>
    <w:rsid w:val="00F83342"/>
    <w:rsid w:val="00F83B64"/>
    <w:rsid w:val="00F85594"/>
    <w:rsid w:val="00F8587F"/>
    <w:rsid w:val="00F863FE"/>
    <w:rsid w:val="00F87954"/>
    <w:rsid w:val="00F90A41"/>
    <w:rsid w:val="00F912D0"/>
    <w:rsid w:val="00F922AF"/>
    <w:rsid w:val="00F9253E"/>
    <w:rsid w:val="00F92E09"/>
    <w:rsid w:val="00F93933"/>
    <w:rsid w:val="00F9396B"/>
    <w:rsid w:val="00F941C9"/>
    <w:rsid w:val="00F943A8"/>
    <w:rsid w:val="00F94F42"/>
    <w:rsid w:val="00F9567B"/>
    <w:rsid w:val="00F95823"/>
    <w:rsid w:val="00F9717F"/>
    <w:rsid w:val="00F97565"/>
    <w:rsid w:val="00FA08ED"/>
    <w:rsid w:val="00FA1954"/>
    <w:rsid w:val="00FA1FB1"/>
    <w:rsid w:val="00FA3053"/>
    <w:rsid w:val="00FA6C5C"/>
    <w:rsid w:val="00FA6D3F"/>
    <w:rsid w:val="00FA6EE7"/>
    <w:rsid w:val="00FB048C"/>
    <w:rsid w:val="00FB0971"/>
    <w:rsid w:val="00FB1E9A"/>
    <w:rsid w:val="00FB2542"/>
    <w:rsid w:val="00FB3300"/>
    <w:rsid w:val="00FB3384"/>
    <w:rsid w:val="00FB3634"/>
    <w:rsid w:val="00FB36BF"/>
    <w:rsid w:val="00FB3B5B"/>
    <w:rsid w:val="00FB40B2"/>
    <w:rsid w:val="00FB62BD"/>
    <w:rsid w:val="00FB62CD"/>
    <w:rsid w:val="00FB633E"/>
    <w:rsid w:val="00FB73BF"/>
    <w:rsid w:val="00FC005E"/>
    <w:rsid w:val="00FC073B"/>
    <w:rsid w:val="00FC0BD4"/>
    <w:rsid w:val="00FC0E26"/>
    <w:rsid w:val="00FC1855"/>
    <w:rsid w:val="00FC229C"/>
    <w:rsid w:val="00FC350C"/>
    <w:rsid w:val="00FC3814"/>
    <w:rsid w:val="00FC449E"/>
    <w:rsid w:val="00FC55A0"/>
    <w:rsid w:val="00FC6887"/>
    <w:rsid w:val="00FC7285"/>
    <w:rsid w:val="00FC791A"/>
    <w:rsid w:val="00FD096D"/>
    <w:rsid w:val="00FD0B17"/>
    <w:rsid w:val="00FD15CC"/>
    <w:rsid w:val="00FD2ED8"/>
    <w:rsid w:val="00FD57F7"/>
    <w:rsid w:val="00FD5E4E"/>
    <w:rsid w:val="00FD675B"/>
    <w:rsid w:val="00FD77EC"/>
    <w:rsid w:val="00FE03E0"/>
    <w:rsid w:val="00FE0D0A"/>
    <w:rsid w:val="00FE0E16"/>
    <w:rsid w:val="00FE2CCF"/>
    <w:rsid w:val="00FE3572"/>
    <w:rsid w:val="00FE3D21"/>
    <w:rsid w:val="00FE3D49"/>
    <w:rsid w:val="00FE62C3"/>
    <w:rsid w:val="00FE6A62"/>
    <w:rsid w:val="00FE6B0B"/>
    <w:rsid w:val="00FE6B3E"/>
    <w:rsid w:val="00FE7761"/>
    <w:rsid w:val="00FE7900"/>
    <w:rsid w:val="00FF0493"/>
    <w:rsid w:val="00FF053C"/>
    <w:rsid w:val="00FF1839"/>
    <w:rsid w:val="00FF2261"/>
    <w:rsid w:val="00FF2A5A"/>
    <w:rsid w:val="00FF325D"/>
    <w:rsid w:val="00FF3A84"/>
    <w:rsid w:val="00FF57BF"/>
    <w:rsid w:val="00FF6269"/>
    <w:rsid w:val="00FF6EA8"/>
    <w:rsid w:val="00FF70D9"/>
    <w:rsid w:val="00FF7C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436365A"/>
  <w15:docId w15:val="{B4A1A689-F0AB-4D08-9654-35818714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7524"/>
    <w:pPr>
      <w:spacing w:before="60" w:after="60"/>
      <w:jc w:val="both"/>
    </w:pPr>
    <w:rPr>
      <w:rFonts w:ascii="Arial" w:eastAsia="Calibri" w:hAnsi="Arial"/>
      <w:sz w:val="22"/>
      <w:szCs w:val="22"/>
      <w:lang w:eastAsia="en-US"/>
    </w:rPr>
  </w:style>
  <w:style w:type="paragraph" w:styleId="Heading1">
    <w:name w:val="heading 1"/>
    <w:basedOn w:val="Normal"/>
    <w:next w:val="Normal"/>
    <w:link w:val="Heading1Char"/>
    <w:uiPriority w:val="9"/>
    <w:qFormat/>
    <w:rsid w:val="00547524"/>
    <w:pPr>
      <w:keepNext/>
      <w:keepLines/>
      <w:spacing w:before="0" w:after="120"/>
      <w:jc w:val="center"/>
      <w:outlineLvl w:val="0"/>
    </w:pPr>
    <w:rPr>
      <w:rFonts w:eastAsia="Times New Roman"/>
      <w:b/>
      <w:bCs/>
      <w:sz w:val="24"/>
      <w:szCs w:val="28"/>
    </w:rPr>
  </w:style>
  <w:style w:type="paragraph" w:styleId="Heading2">
    <w:name w:val="heading 2"/>
    <w:basedOn w:val="Heading1"/>
    <w:next w:val="Normal"/>
    <w:link w:val="Heading2Char"/>
    <w:uiPriority w:val="9"/>
    <w:unhideWhenUsed/>
    <w:qFormat/>
    <w:rsid w:val="00547524"/>
    <w:pPr>
      <w:spacing w:before="120"/>
      <w:outlineLvl w:val="1"/>
    </w:pPr>
    <w:rPr>
      <w:sz w:val="22"/>
    </w:rPr>
  </w:style>
  <w:style w:type="paragraph" w:styleId="Heading3">
    <w:name w:val="heading 3"/>
    <w:basedOn w:val="Header"/>
    <w:next w:val="Normal"/>
    <w:link w:val="Heading3Char"/>
    <w:uiPriority w:val="9"/>
    <w:unhideWhenUsed/>
    <w:qFormat/>
    <w:rsid w:val="00547524"/>
    <w:pPr>
      <w:jc w:val="center"/>
      <w:outlineLvl w:val="2"/>
    </w:pPr>
    <w:rPr>
      <w:b/>
      <w:color w:val="808080"/>
    </w:rPr>
  </w:style>
  <w:style w:type="paragraph" w:styleId="Heading4">
    <w:name w:val="heading 4"/>
    <w:basedOn w:val="Normal"/>
    <w:next w:val="Normal"/>
    <w:link w:val="Heading4Char"/>
    <w:uiPriority w:val="9"/>
    <w:semiHidden/>
    <w:unhideWhenUsed/>
    <w:rsid w:val="00547524"/>
    <w:pPr>
      <w:keepNext/>
      <w:keepLines/>
      <w:spacing w:before="40" w:after="0"/>
      <w:jc w:val="left"/>
      <w:outlineLvl w:val="3"/>
    </w:pPr>
    <w:rPr>
      <w:rFonts w:asciiTheme="majorHAnsi" w:eastAsiaTheme="majorEastAsia" w:hAnsiTheme="majorHAnsi" w:cstheme="majorBidi"/>
      <w:iCs/>
      <w:color w:val="222A35" w:themeColor="text2"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7524"/>
    <w:pPr>
      <w:tabs>
        <w:tab w:val="center" w:pos="4513"/>
        <w:tab w:val="right" w:pos="9026"/>
      </w:tabs>
    </w:pPr>
  </w:style>
  <w:style w:type="character" w:customStyle="1" w:styleId="HeaderChar">
    <w:name w:val="Header Char"/>
    <w:link w:val="Header"/>
    <w:uiPriority w:val="99"/>
    <w:rsid w:val="005A255F"/>
    <w:rPr>
      <w:rFonts w:ascii="Arial" w:eastAsia="Calibri" w:hAnsi="Arial"/>
      <w:sz w:val="22"/>
      <w:szCs w:val="22"/>
      <w:lang w:eastAsia="en-US"/>
    </w:rPr>
  </w:style>
  <w:style w:type="paragraph" w:styleId="Footer">
    <w:name w:val="footer"/>
    <w:basedOn w:val="Normal"/>
    <w:link w:val="FooterChar"/>
    <w:uiPriority w:val="99"/>
    <w:rsid w:val="00547524"/>
    <w:pPr>
      <w:tabs>
        <w:tab w:val="center" w:pos="4513"/>
        <w:tab w:val="right" w:pos="9026"/>
      </w:tabs>
    </w:pPr>
  </w:style>
  <w:style w:type="character" w:customStyle="1" w:styleId="FooterChar">
    <w:name w:val="Footer Char"/>
    <w:link w:val="Footer"/>
    <w:uiPriority w:val="99"/>
    <w:rsid w:val="005A255F"/>
    <w:rPr>
      <w:rFonts w:ascii="Arial" w:eastAsia="Calibri" w:hAnsi="Arial"/>
      <w:sz w:val="22"/>
      <w:szCs w:val="22"/>
      <w:lang w:eastAsia="en-US"/>
    </w:rPr>
  </w:style>
  <w:style w:type="character" w:customStyle="1" w:styleId="Heading3Char">
    <w:name w:val="Heading 3 Char"/>
    <w:link w:val="Heading3"/>
    <w:uiPriority w:val="9"/>
    <w:rsid w:val="005A255F"/>
    <w:rPr>
      <w:rFonts w:ascii="Arial" w:eastAsia="Calibri" w:hAnsi="Arial"/>
      <w:b/>
      <w:color w:val="808080"/>
      <w:sz w:val="22"/>
      <w:szCs w:val="22"/>
      <w:lang w:eastAsia="en-US"/>
    </w:rPr>
  </w:style>
  <w:style w:type="character" w:customStyle="1" w:styleId="Heading2Char">
    <w:name w:val="Heading 2 Char"/>
    <w:link w:val="Heading2"/>
    <w:uiPriority w:val="9"/>
    <w:rsid w:val="00563CB8"/>
    <w:rPr>
      <w:rFonts w:ascii="Arial" w:hAnsi="Arial"/>
      <w:b/>
      <w:bCs/>
      <w:sz w:val="22"/>
      <w:szCs w:val="28"/>
      <w:lang w:eastAsia="en-US"/>
    </w:rPr>
  </w:style>
  <w:style w:type="paragraph" w:styleId="NoSpacing">
    <w:name w:val="No Spacing"/>
    <w:link w:val="NoSpacingChar"/>
    <w:uiPriority w:val="1"/>
    <w:qFormat/>
    <w:rsid w:val="00547524"/>
    <w:rPr>
      <w:rFonts w:ascii="Calibri" w:eastAsia="Calibri" w:hAnsi="Calibri"/>
      <w:sz w:val="22"/>
      <w:szCs w:val="22"/>
      <w:lang w:eastAsia="en-US"/>
    </w:rPr>
  </w:style>
  <w:style w:type="paragraph" w:customStyle="1" w:styleId="VSNormal">
    <w:name w:val="VS Normal"/>
    <w:basedOn w:val="Normal"/>
    <w:link w:val="VSNormalChar"/>
    <w:qFormat/>
    <w:rsid w:val="00A757E1"/>
  </w:style>
  <w:style w:type="paragraph" w:customStyle="1" w:styleId="VSDraft">
    <w:name w:val="VS Draft"/>
    <w:basedOn w:val="VSNormal"/>
    <w:link w:val="VSDraftChar"/>
    <w:qFormat/>
    <w:rsid w:val="00A757E1"/>
    <w:rPr>
      <w:color w:val="C00000"/>
    </w:rPr>
  </w:style>
  <w:style w:type="character" w:customStyle="1" w:styleId="VSNormalChar">
    <w:name w:val="VS Normal Char"/>
    <w:link w:val="VSNormal"/>
    <w:rsid w:val="00A757E1"/>
    <w:rPr>
      <w:rFonts w:ascii="Arial" w:eastAsia="Calibri" w:hAnsi="Arial"/>
      <w:sz w:val="22"/>
      <w:szCs w:val="22"/>
      <w:lang w:eastAsia="en-US"/>
    </w:rPr>
  </w:style>
  <w:style w:type="character" w:customStyle="1" w:styleId="VSDraftChar">
    <w:name w:val="VS Draft Char"/>
    <w:link w:val="VSDraft"/>
    <w:rsid w:val="00A757E1"/>
    <w:rPr>
      <w:rFonts w:ascii="Arial" w:eastAsia="Calibri" w:hAnsi="Arial"/>
      <w:color w:val="C00000"/>
      <w:sz w:val="22"/>
      <w:szCs w:val="22"/>
      <w:lang w:eastAsia="en-US"/>
    </w:rPr>
  </w:style>
  <w:style w:type="paragraph" w:customStyle="1" w:styleId="VSACTION">
    <w:name w:val="VS ACTION"/>
    <w:basedOn w:val="Bullet"/>
    <w:link w:val="VSACTIONChar"/>
    <w:qFormat/>
    <w:rsid w:val="00E108FA"/>
    <w:pPr>
      <w:numPr>
        <w:numId w:val="0"/>
      </w:numPr>
    </w:pPr>
    <w:rPr>
      <w:b/>
      <w:color w:val="00B050"/>
      <w:u w:val="single"/>
    </w:rPr>
  </w:style>
  <w:style w:type="character" w:customStyle="1" w:styleId="VSACTIONChar">
    <w:name w:val="VS ACTION Char"/>
    <w:link w:val="VSACTION"/>
    <w:rsid w:val="00E108FA"/>
    <w:rPr>
      <w:rFonts w:ascii="Arial" w:eastAsia="Calibri" w:hAnsi="Arial"/>
      <w:b/>
      <w:color w:val="00B050"/>
      <w:sz w:val="22"/>
      <w:szCs w:val="22"/>
      <w:u w:val="single"/>
      <w:lang w:eastAsia="en-US"/>
    </w:rPr>
  </w:style>
  <w:style w:type="paragraph" w:customStyle="1" w:styleId="TableHeading1">
    <w:name w:val="Table Heading 1"/>
    <w:basedOn w:val="NoSpacing"/>
    <w:qFormat/>
    <w:rsid w:val="001F1CF0"/>
    <w:pPr>
      <w:spacing w:before="60" w:after="60"/>
    </w:pPr>
    <w:rPr>
      <w:rFonts w:ascii="Arial" w:hAnsi="Arial" w:cs="Arial"/>
      <w:b/>
      <w:szCs w:val="24"/>
    </w:rPr>
  </w:style>
  <w:style w:type="paragraph" w:customStyle="1" w:styleId="Bullet">
    <w:name w:val="Bullet"/>
    <w:basedOn w:val="Normal"/>
    <w:qFormat/>
    <w:rsid w:val="00E075A7"/>
    <w:pPr>
      <w:numPr>
        <w:numId w:val="1"/>
      </w:numPr>
    </w:pPr>
  </w:style>
  <w:style w:type="paragraph" w:customStyle="1" w:styleId="TableHeading2">
    <w:name w:val="Table Heading 2"/>
    <w:basedOn w:val="Normal"/>
    <w:link w:val="TableHeading2Char"/>
    <w:qFormat/>
    <w:rsid w:val="00DF0E34"/>
    <w:rPr>
      <w:u w:val="single"/>
    </w:rPr>
  </w:style>
  <w:style w:type="paragraph" w:styleId="ListParagraph">
    <w:name w:val="List Paragraph"/>
    <w:basedOn w:val="Normal"/>
    <w:link w:val="ListParagraphChar"/>
    <w:uiPriority w:val="34"/>
    <w:qFormat/>
    <w:rsid w:val="00547524"/>
    <w:pPr>
      <w:ind w:left="720"/>
      <w:contextualSpacing/>
    </w:pPr>
  </w:style>
  <w:style w:type="character" w:customStyle="1" w:styleId="TableHeading2Char">
    <w:name w:val="Table Heading 2 Char"/>
    <w:link w:val="TableHeading2"/>
    <w:rsid w:val="00DF0E34"/>
    <w:rPr>
      <w:rFonts w:ascii="Arial" w:eastAsia="Calibri" w:hAnsi="Arial" w:cs="Arial"/>
      <w:sz w:val="22"/>
      <w:szCs w:val="22"/>
      <w:u w:val="single"/>
      <w:lang w:eastAsia="en-US"/>
    </w:rPr>
  </w:style>
  <w:style w:type="character" w:customStyle="1" w:styleId="Heading1Char">
    <w:name w:val="Heading 1 Char"/>
    <w:link w:val="Heading1"/>
    <w:uiPriority w:val="9"/>
    <w:rsid w:val="00B32DC6"/>
    <w:rPr>
      <w:rFonts w:ascii="Arial" w:hAnsi="Arial"/>
      <w:b/>
      <w:bCs/>
      <w:sz w:val="24"/>
      <w:szCs w:val="28"/>
      <w:lang w:eastAsia="en-US"/>
    </w:rPr>
  </w:style>
  <w:style w:type="table" w:styleId="TableGrid">
    <w:name w:val="Table Grid"/>
    <w:aliases w:val="Table Grid Horizontal"/>
    <w:basedOn w:val="TableNormal"/>
    <w:uiPriority w:val="39"/>
    <w:rsid w:val="00EF28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Sections">
    <w:name w:val="Draft Sections"/>
    <w:basedOn w:val="Normal"/>
    <w:link w:val="DraftSectionsChar"/>
    <w:qFormat/>
    <w:rsid w:val="005C2D32"/>
    <w:pPr>
      <w:widowControl w:val="0"/>
      <w:wordWrap w:val="0"/>
      <w:autoSpaceDE w:val="0"/>
      <w:autoSpaceDN w:val="0"/>
      <w:spacing w:before="0" w:after="0"/>
    </w:pPr>
    <w:rPr>
      <w:color w:val="C00000"/>
      <w:kern w:val="2"/>
      <w:lang w:val="en-US" w:eastAsia="ko-KR"/>
    </w:rPr>
  </w:style>
  <w:style w:type="character" w:customStyle="1" w:styleId="DraftSectionsChar">
    <w:name w:val="Draft Sections Char"/>
    <w:link w:val="DraftSections"/>
    <w:rsid w:val="005C2D32"/>
    <w:rPr>
      <w:rFonts w:ascii="Arial" w:eastAsia="Calibri" w:hAnsi="Arial" w:cs="Arial"/>
      <w:color w:val="C00000"/>
      <w:kern w:val="2"/>
      <w:sz w:val="22"/>
      <w:szCs w:val="22"/>
      <w:lang w:val="en-US" w:eastAsia="ko-KR"/>
    </w:rPr>
  </w:style>
  <w:style w:type="paragraph" w:customStyle="1" w:styleId="Action-">
    <w:name w:val="Action -"/>
    <w:basedOn w:val="Normal"/>
    <w:link w:val="Action-Char"/>
    <w:qFormat/>
    <w:rsid w:val="005C2D32"/>
    <w:pPr>
      <w:spacing w:before="0" w:after="120"/>
    </w:pPr>
    <w:rPr>
      <w:b/>
      <w:color w:val="C00000"/>
      <w:u w:val="single"/>
    </w:rPr>
  </w:style>
  <w:style w:type="character" w:customStyle="1" w:styleId="Action-Char">
    <w:name w:val="Action - Char"/>
    <w:link w:val="Action-"/>
    <w:rsid w:val="005C2D32"/>
    <w:rPr>
      <w:rFonts w:ascii="Arial" w:eastAsia="Calibri" w:hAnsi="Arial" w:cs="Arial"/>
      <w:b/>
      <w:color w:val="C00000"/>
      <w:sz w:val="22"/>
      <w:szCs w:val="22"/>
      <w:u w:val="single"/>
      <w:lang w:eastAsia="en-US"/>
    </w:rPr>
  </w:style>
  <w:style w:type="paragraph" w:customStyle="1" w:styleId="Approved">
    <w:name w:val="Approved"/>
    <w:basedOn w:val="Normal"/>
    <w:link w:val="ApprovedChar"/>
    <w:qFormat/>
    <w:rsid w:val="005C2D32"/>
    <w:pPr>
      <w:spacing w:before="0" w:after="120"/>
    </w:pPr>
    <w:rPr>
      <w:b/>
      <w:color w:val="00B050"/>
      <w:u w:val="single"/>
    </w:rPr>
  </w:style>
  <w:style w:type="character" w:customStyle="1" w:styleId="ApprovedChar">
    <w:name w:val="Approved Char"/>
    <w:link w:val="Approved"/>
    <w:rsid w:val="005C2D32"/>
    <w:rPr>
      <w:rFonts w:ascii="Arial" w:eastAsia="Calibri" w:hAnsi="Arial" w:cs="Arial"/>
      <w:b/>
      <w:color w:val="00B050"/>
      <w:sz w:val="22"/>
      <w:szCs w:val="22"/>
      <w:u w:val="single"/>
      <w:lang w:eastAsia="en-US"/>
    </w:rPr>
  </w:style>
  <w:style w:type="paragraph" w:customStyle="1" w:styleId="VSDraft2">
    <w:name w:val="VS Draft2"/>
    <w:basedOn w:val="Heading2"/>
    <w:link w:val="VSDraft2Char"/>
    <w:qFormat/>
    <w:rsid w:val="00563CB8"/>
    <w:pPr>
      <w:spacing w:before="60" w:after="60"/>
      <w:jc w:val="left"/>
      <w:outlineLvl w:val="9"/>
    </w:pPr>
    <w:rPr>
      <w:b w:val="0"/>
      <w:color w:val="BFBFBF"/>
    </w:rPr>
  </w:style>
  <w:style w:type="paragraph" w:customStyle="1" w:styleId="VSTableHeading">
    <w:name w:val="VS Table Heading"/>
    <w:basedOn w:val="Heading2"/>
    <w:link w:val="VSTableHeadingChar"/>
    <w:qFormat/>
    <w:rsid w:val="00FA3053"/>
    <w:pPr>
      <w:jc w:val="left"/>
      <w:outlineLvl w:val="9"/>
    </w:pPr>
  </w:style>
  <w:style w:type="character" w:customStyle="1" w:styleId="VSDraft2Char">
    <w:name w:val="VS Draft2 Char"/>
    <w:link w:val="VSDraft2"/>
    <w:rsid w:val="00563CB8"/>
    <w:rPr>
      <w:rFonts w:ascii="Arial" w:eastAsia="Times New Roman" w:hAnsi="Arial" w:cs="Arial"/>
      <w:b w:val="0"/>
      <w:bCs/>
      <w:color w:val="BFBFBF"/>
      <w:sz w:val="22"/>
      <w:szCs w:val="28"/>
      <w:lang w:eastAsia="en-US"/>
    </w:rPr>
  </w:style>
  <w:style w:type="paragraph" w:customStyle="1" w:styleId="VSTableHeading2">
    <w:name w:val="VS Table Heading 2"/>
    <w:basedOn w:val="VSTableHeading"/>
    <w:link w:val="VSTableHeading2Char"/>
    <w:qFormat/>
    <w:rsid w:val="0063277C"/>
    <w:pPr>
      <w:spacing w:before="60" w:after="60"/>
    </w:pPr>
    <w:rPr>
      <w:b w:val="0"/>
      <w:u w:val="single"/>
    </w:rPr>
  </w:style>
  <w:style w:type="character" w:customStyle="1" w:styleId="VSTableHeadingChar">
    <w:name w:val="VS Table Heading Char"/>
    <w:link w:val="VSTableHeading"/>
    <w:rsid w:val="00FA3053"/>
    <w:rPr>
      <w:rFonts w:ascii="Arial" w:eastAsia="Times New Roman" w:hAnsi="Arial" w:cs="Arial"/>
      <w:b/>
      <w:bCs/>
      <w:sz w:val="22"/>
      <w:szCs w:val="28"/>
      <w:lang w:eastAsia="en-US"/>
    </w:rPr>
  </w:style>
  <w:style w:type="paragraph" w:customStyle="1" w:styleId="VSTableBullet">
    <w:name w:val="VS Table Bullet"/>
    <w:basedOn w:val="DraftSections"/>
    <w:link w:val="VSTableBulletChar"/>
    <w:qFormat/>
    <w:rsid w:val="00563CB8"/>
    <w:pPr>
      <w:numPr>
        <w:numId w:val="2"/>
      </w:numPr>
    </w:pPr>
    <w:rPr>
      <w:color w:val="000000"/>
    </w:rPr>
  </w:style>
  <w:style w:type="character" w:customStyle="1" w:styleId="VSTableHeading2Char">
    <w:name w:val="VS Table Heading 2 Char"/>
    <w:link w:val="VSTableHeading2"/>
    <w:rsid w:val="0063277C"/>
    <w:rPr>
      <w:rFonts w:ascii="Arial" w:eastAsia="Times New Roman" w:hAnsi="Arial" w:cs="Arial"/>
      <w:b w:val="0"/>
      <w:bCs/>
      <w:sz w:val="22"/>
      <w:szCs w:val="28"/>
      <w:u w:val="single"/>
      <w:lang w:eastAsia="en-US"/>
    </w:rPr>
  </w:style>
  <w:style w:type="character" w:customStyle="1" w:styleId="VSTableBulletChar">
    <w:name w:val="VS Table Bullet Char"/>
    <w:link w:val="VSTableBullet"/>
    <w:rsid w:val="00563CB8"/>
    <w:rPr>
      <w:rFonts w:ascii="Arial" w:eastAsia="Calibri" w:hAnsi="Arial"/>
      <w:color w:val="000000"/>
      <w:kern w:val="2"/>
      <w:sz w:val="22"/>
      <w:szCs w:val="22"/>
      <w:lang w:val="en-US" w:eastAsia="ko-KR"/>
    </w:rPr>
  </w:style>
  <w:style w:type="paragraph" w:styleId="BalloonText">
    <w:name w:val="Balloon Text"/>
    <w:basedOn w:val="Normal"/>
    <w:link w:val="BalloonTextChar"/>
    <w:semiHidden/>
    <w:unhideWhenUsed/>
    <w:rsid w:val="00350AD9"/>
    <w:pPr>
      <w:spacing w:before="0" w:after="0"/>
    </w:pPr>
    <w:rPr>
      <w:rFonts w:ascii="Tahoma" w:hAnsi="Tahoma" w:cs="Tahoma"/>
      <w:sz w:val="16"/>
      <w:szCs w:val="16"/>
    </w:rPr>
  </w:style>
  <w:style w:type="character" w:customStyle="1" w:styleId="BalloonTextChar">
    <w:name w:val="Balloon Text Char"/>
    <w:link w:val="BalloonText"/>
    <w:semiHidden/>
    <w:rsid w:val="00350AD9"/>
    <w:rPr>
      <w:rFonts w:ascii="Tahoma" w:eastAsia="Calibri" w:hAnsi="Tahoma" w:cs="Tahoma"/>
      <w:color w:val="000000"/>
      <w:sz w:val="16"/>
      <w:szCs w:val="16"/>
      <w:lang w:eastAsia="en-US"/>
    </w:rPr>
  </w:style>
  <w:style w:type="character" w:styleId="PlaceholderText">
    <w:name w:val="Placeholder Text"/>
    <w:uiPriority w:val="99"/>
    <w:semiHidden/>
    <w:rsid w:val="00350AD9"/>
    <w:rPr>
      <w:color w:val="808080"/>
    </w:rPr>
  </w:style>
  <w:style w:type="character" w:styleId="Hyperlink">
    <w:name w:val="Hyperlink"/>
    <w:uiPriority w:val="99"/>
    <w:unhideWhenUsed/>
    <w:rsid w:val="00547524"/>
    <w:rPr>
      <w:color w:val="0000FF"/>
      <w:u w:val="single"/>
    </w:rPr>
  </w:style>
  <w:style w:type="table" w:customStyle="1" w:styleId="TableGrid1">
    <w:name w:val="Table Grid1"/>
    <w:basedOn w:val="TableNormal"/>
    <w:next w:val="TableGrid"/>
    <w:uiPriority w:val="59"/>
    <w:rsid w:val="00986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F3DAA"/>
    <w:pPr>
      <w:spacing w:before="0" w:after="0"/>
      <w:jc w:val="left"/>
    </w:pPr>
    <w:rPr>
      <w:rFonts w:ascii="Calibri" w:hAnsi="Calibri"/>
      <w:szCs w:val="21"/>
    </w:rPr>
  </w:style>
  <w:style w:type="character" w:customStyle="1" w:styleId="PlainTextChar">
    <w:name w:val="Plain Text Char"/>
    <w:link w:val="PlainText"/>
    <w:uiPriority w:val="99"/>
    <w:rsid w:val="007F3DAA"/>
    <w:rPr>
      <w:rFonts w:ascii="Calibri" w:eastAsia="Calibri" w:hAnsi="Calibri"/>
      <w:sz w:val="22"/>
      <w:szCs w:val="21"/>
      <w:lang w:eastAsia="en-US"/>
    </w:rPr>
  </w:style>
  <w:style w:type="table" w:customStyle="1" w:styleId="TableGrid2">
    <w:name w:val="Table Grid2"/>
    <w:basedOn w:val="TableNormal"/>
    <w:next w:val="TableGrid"/>
    <w:uiPriority w:val="59"/>
    <w:rsid w:val="001E52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65A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296F12"/>
    <w:rPr>
      <w:rFonts w:ascii="Arial" w:eastAsia="Calibri" w:hAnsi="Arial"/>
      <w:sz w:val="22"/>
      <w:szCs w:val="22"/>
      <w:lang w:eastAsia="en-US"/>
    </w:rPr>
  </w:style>
  <w:style w:type="character" w:styleId="CommentReference">
    <w:name w:val="annotation reference"/>
    <w:semiHidden/>
    <w:unhideWhenUsed/>
    <w:rsid w:val="00803B64"/>
    <w:rPr>
      <w:sz w:val="16"/>
      <w:szCs w:val="16"/>
    </w:rPr>
  </w:style>
  <w:style w:type="paragraph" w:styleId="CommentText">
    <w:name w:val="annotation text"/>
    <w:basedOn w:val="Normal"/>
    <w:link w:val="CommentTextChar"/>
    <w:semiHidden/>
    <w:unhideWhenUsed/>
    <w:rsid w:val="00803B64"/>
    <w:rPr>
      <w:sz w:val="20"/>
      <w:szCs w:val="20"/>
    </w:rPr>
  </w:style>
  <w:style w:type="character" w:customStyle="1" w:styleId="CommentTextChar">
    <w:name w:val="Comment Text Char"/>
    <w:link w:val="CommentText"/>
    <w:semiHidden/>
    <w:rsid w:val="00803B64"/>
    <w:rPr>
      <w:rFonts w:ascii="Arial" w:eastAsia="Calibri" w:hAnsi="Arial"/>
      <w:lang w:eastAsia="en-US"/>
    </w:rPr>
  </w:style>
  <w:style w:type="paragraph" w:styleId="CommentSubject">
    <w:name w:val="annotation subject"/>
    <w:basedOn w:val="CommentText"/>
    <w:next w:val="CommentText"/>
    <w:link w:val="CommentSubjectChar"/>
    <w:semiHidden/>
    <w:unhideWhenUsed/>
    <w:rsid w:val="00803B64"/>
    <w:rPr>
      <w:b/>
      <w:bCs/>
    </w:rPr>
  </w:style>
  <w:style w:type="character" w:customStyle="1" w:styleId="CommentSubjectChar">
    <w:name w:val="Comment Subject Char"/>
    <w:link w:val="CommentSubject"/>
    <w:semiHidden/>
    <w:rsid w:val="00803B64"/>
    <w:rPr>
      <w:rFonts w:ascii="Arial" w:eastAsia="Calibri" w:hAnsi="Arial"/>
      <w:b/>
      <w:bCs/>
      <w:lang w:eastAsia="en-US"/>
    </w:rPr>
  </w:style>
  <w:style w:type="paragraph" w:styleId="Title">
    <w:name w:val="Title"/>
    <w:next w:val="Normal"/>
    <w:link w:val="TitleChar"/>
    <w:uiPriority w:val="10"/>
    <w:qFormat/>
    <w:rsid w:val="00547524"/>
    <w:pPr>
      <w:spacing w:after="300" w:line="280" w:lineRule="atLeast"/>
      <w:contextualSpacing/>
      <w:jc w:val="right"/>
    </w:pPr>
    <w:rPr>
      <w:rFonts w:ascii="Arial" w:hAnsi="Arial"/>
      <w:b/>
      <w:color w:val="2A5CAA"/>
      <w:spacing w:val="5"/>
      <w:kern w:val="28"/>
      <w:sz w:val="56"/>
      <w:szCs w:val="52"/>
      <w:lang w:eastAsia="en-US"/>
    </w:rPr>
  </w:style>
  <w:style w:type="character" w:customStyle="1" w:styleId="TitleChar">
    <w:name w:val="Title Char"/>
    <w:link w:val="Title"/>
    <w:uiPriority w:val="10"/>
    <w:rsid w:val="00B313EA"/>
    <w:rPr>
      <w:rFonts w:ascii="Arial" w:hAnsi="Arial"/>
      <w:b/>
      <w:color w:val="2A5CAA"/>
      <w:spacing w:val="5"/>
      <w:kern w:val="28"/>
      <w:sz w:val="56"/>
      <w:szCs w:val="52"/>
      <w:lang w:eastAsia="en-US"/>
    </w:rPr>
  </w:style>
  <w:style w:type="paragraph" w:styleId="TOCHeading">
    <w:name w:val="TOC Heading"/>
    <w:next w:val="Normal"/>
    <w:uiPriority w:val="39"/>
    <w:unhideWhenUsed/>
    <w:qFormat/>
    <w:rsid w:val="00547524"/>
    <w:pPr>
      <w:spacing w:after="140" w:line="280" w:lineRule="atLeast"/>
    </w:pPr>
    <w:rPr>
      <w:rFonts w:ascii="Arial" w:hAnsi="Arial"/>
      <w:b/>
      <w:bCs/>
      <w:color w:val="2A5CAA"/>
      <w:sz w:val="36"/>
      <w:szCs w:val="28"/>
      <w:lang w:eastAsia="en-US"/>
    </w:rPr>
  </w:style>
  <w:style w:type="table" w:customStyle="1" w:styleId="wftable1">
    <w:name w:val="wf table 1"/>
    <w:basedOn w:val="TableNormal"/>
    <w:uiPriority w:val="99"/>
    <w:rsid w:val="00B313EA"/>
    <w:pPr>
      <w:spacing w:after="140" w:line="280" w:lineRule="atLeast"/>
    </w:pPr>
    <w:rPr>
      <w:rFonts w:ascii="Arial" w:eastAsia="Arial" w:hAnsi="Arial"/>
      <w:sz w:val="22"/>
      <w:szCs w:val="22"/>
      <w:lang w:eastAsia="en-US"/>
    </w:rPr>
    <w:tblPr>
      <w:tblBorders>
        <w:top w:val="single" w:sz="8" w:space="0" w:color="2A5CAA"/>
        <w:bottom w:val="single" w:sz="8" w:space="0" w:color="2A5CAA"/>
        <w:insideH w:val="single" w:sz="8" w:space="0" w:color="2A5CAA"/>
      </w:tblBorders>
      <w:tblCellMar>
        <w:top w:w="140" w:type="dxa"/>
      </w:tblCellMar>
    </w:tblPr>
    <w:tblStylePr w:type="firstRow">
      <w:rPr>
        <w:b/>
      </w:rPr>
      <w:tblPr/>
      <w:trPr>
        <w:tblHeader/>
      </w:trPr>
    </w:tblStylePr>
    <w:tblStylePr w:type="lastRow">
      <w:rPr>
        <w:b/>
      </w:rPr>
    </w:tblStylePr>
    <w:tblStylePr w:type="firstCol">
      <w:rPr>
        <w:b/>
      </w:rPr>
    </w:tblStylePr>
  </w:style>
  <w:style w:type="paragraph" w:styleId="NormalWeb">
    <w:name w:val="Normal (Web)"/>
    <w:basedOn w:val="Normal"/>
    <w:uiPriority w:val="99"/>
    <w:unhideWhenUsed/>
    <w:rsid w:val="00B313EA"/>
    <w:pPr>
      <w:spacing w:before="0" w:after="140" w:line="280" w:lineRule="atLeast"/>
      <w:jc w:val="left"/>
    </w:pPr>
    <w:rPr>
      <w:rFonts w:ascii="Times New Roman" w:eastAsia="Arial" w:hAnsi="Times New Roman"/>
      <w:sz w:val="24"/>
      <w:szCs w:val="24"/>
    </w:rPr>
  </w:style>
  <w:style w:type="paragraph" w:customStyle="1" w:styleId="Default">
    <w:name w:val="Default"/>
    <w:rsid w:val="00B313EA"/>
    <w:pPr>
      <w:autoSpaceDE w:val="0"/>
      <w:autoSpaceDN w:val="0"/>
      <w:adjustRightInd w:val="0"/>
    </w:pPr>
    <w:rPr>
      <w:rFonts w:ascii="CJJBEP+Arial" w:hAnsi="CJJBEP+Arial" w:cs="CJJBEP+Arial"/>
      <w:color w:val="000000"/>
      <w:sz w:val="24"/>
      <w:szCs w:val="24"/>
      <w:lang w:eastAsia="en-GB"/>
    </w:rPr>
  </w:style>
  <w:style w:type="paragraph" w:styleId="TOC1">
    <w:name w:val="toc 1"/>
    <w:basedOn w:val="Normal"/>
    <w:next w:val="Normal"/>
    <w:autoRedefine/>
    <w:uiPriority w:val="39"/>
    <w:unhideWhenUsed/>
    <w:rsid w:val="00547524"/>
    <w:pPr>
      <w:spacing w:before="240" w:after="120"/>
      <w:jc w:val="left"/>
    </w:pPr>
    <w:rPr>
      <w:rFonts w:ascii="Calibri" w:hAnsi="Calibri"/>
      <w:b/>
      <w:bCs/>
      <w:sz w:val="20"/>
      <w:szCs w:val="20"/>
    </w:rPr>
  </w:style>
  <w:style w:type="paragraph" w:styleId="TOC2">
    <w:name w:val="toc 2"/>
    <w:basedOn w:val="Normal"/>
    <w:next w:val="Normal"/>
    <w:autoRedefine/>
    <w:uiPriority w:val="39"/>
    <w:unhideWhenUsed/>
    <w:rsid w:val="00547524"/>
    <w:pPr>
      <w:spacing w:before="120" w:after="0"/>
      <w:ind w:left="220"/>
      <w:jc w:val="left"/>
    </w:pPr>
    <w:rPr>
      <w:rFonts w:ascii="Calibri" w:hAnsi="Calibri"/>
      <w:i/>
      <w:iCs/>
      <w:sz w:val="20"/>
      <w:szCs w:val="20"/>
    </w:rPr>
  </w:style>
  <w:style w:type="character" w:styleId="Emphasis">
    <w:name w:val="Emphasis"/>
    <w:qFormat/>
    <w:rsid w:val="00B313EA"/>
    <w:rPr>
      <w:i/>
      <w:iCs/>
    </w:rPr>
  </w:style>
  <w:style w:type="table" w:customStyle="1" w:styleId="TableGridHorizontal2">
    <w:name w:val="Table Grid Horizontal2"/>
    <w:basedOn w:val="TableNormal"/>
    <w:next w:val="TableGrid"/>
    <w:uiPriority w:val="59"/>
    <w:rsid w:val="00914C94"/>
    <w:rPr>
      <w:rFonts w:ascii="Arial" w:eastAsia="Arial" w:hAnsi="Arial" w:cs="Arial"/>
      <w:kern w:val="24"/>
      <w:sz w:val="24"/>
      <w:szCs w:val="24"/>
      <w:lang w:val="en-US" w:eastAsia="en-US"/>
    </w:rPr>
    <w:tblPr>
      <w:tblStyleRow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Pr>
    <w:tcPr>
      <w:shd w:val="clear" w:color="auto" w:fill="auto"/>
    </w:tcPr>
    <w:tblStylePr w:type="firstRow">
      <w:rPr>
        <w:rFonts w:ascii="Arial" w:hAnsi="Arial"/>
        <w:b/>
        <w:color w:val="auto"/>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character" w:styleId="FollowedHyperlink">
    <w:name w:val="FollowedHyperlink"/>
    <w:semiHidden/>
    <w:unhideWhenUsed/>
    <w:rsid w:val="007B43B9"/>
    <w:rPr>
      <w:color w:val="954F72"/>
      <w:u w:val="single"/>
    </w:rPr>
  </w:style>
  <w:style w:type="paragraph" w:styleId="TOC3">
    <w:name w:val="toc 3"/>
    <w:basedOn w:val="Normal"/>
    <w:next w:val="Normal"/>
    <w:autoRedefine/>
    <w:uiPriority w:val="39"/>
    <w:unhideWhenUsed/>
    <w:rsid w:val="00547524"/>
    <w:pPr>
      <w:spacing w:before="0" w:after="0"/>
      <w:ind w:left="440"/>
      <w:jc w:val="left"/>
    </w:pPr>
    <w:rPr>
      <w:rFonts w:ascii="Calibri" w:hAnsi="Calibri"/>
      <w:sz w:val="20"/>
      <w:szCs w:val="20"/>
    </w:rPr>
  </w:style>
  <w:style w:type="paragraph" w:styleId="TOC4">
    <w:name w:val="toc 4"/>
    <w:basedOn w:val="Normal"/>
    <w:next w:val="Normal"/>
    <w:autoRedefine/>
    <w:uiPriority w:val="39"/>
    <w:unhideWhenUsed/>
    <w:rsid w:val="00547524"/>
    <w:pPr>
      <w:spacing w:before="0" w:after="0"/>
      <w:ind w:left="660"/>
      <w:jc w:val="left"/>
    </w:pPr>
    <w:rPr>
      <w:rFonts w:ascii="Calibri" w:hAnsi="Calibri"/>
      <w:sz w:val="20"/>
      <w:szCs w:val="20"/>
    </w:rPr>
  </w:style>
  <w:style w:type="paragraph" w:styleId="TOC5">
    <w:name w:val="toc 5"/>
    <w:basedOn w:val="Normal"/>
    <w:next w:val="Normal"/>
    <w:autoRedefine/>
    <w:uiPriority w:val="39"/>
    <w:unhideWhenUsed/>
    <w:rsid w:val="00547524"/>
    <w:pPr>
      <w:spacing w:before="0" w:after="0"/>
      <w:ind w:left="880"/>
      <w:jc w:val="left"/>
    </w:pPr>
    <w:rPr>
      <w:rFonts w:ascii="Calibri" w:hAnsi="Calibri"/>
      <w:sz w:val="20"/>
      <w:szCs w:val="20"/>
    </w:rPr>
  </w:style>
  <w:style w:type="paragraph" w:styleId="TOC6">
    <w:name w:val="toc 6"/>
    <w:basedOn w:val="Normal"/>
    <w:next w:val="Normal"/>
    <w:autoRedefine/>
    <w:uiPriority w:val="39"/>
    <w:unhideWhenUsed/>
    <w:rsid w:val="00547524"/>
    <w:pPr>
      <w:spacing w:before="0" w:after="0"/>
      <w:ind w:left="1100"/>
      <w:jc w:val="left"/>
    </w:pPr>
    <w:rPr>
      <w:rFonts w:ascii="Calibri" w:hAnsi="Calibri"/>
      <w:sz w:val="20"/>
      <w:szCs w:val="20"/>
    </w:rPr>
  </w:style>
  <w:style w:type="paragraph" w:styleId="TOC7">
    <w:name w:val="toc 7"/>
    <w:basedOn w:val="Normal"/>
    <w:next w:val="Normal"/>
    <w:autoRedefine/>
    <w:uiPriority w:val="39"/>
    <w:unhideWhenUsed/>
    <w:rsid w:val="00547524"/>
    <w:pPr>
      <w:spacing w:before="0" w:after="0"/>
      <w:ind w:left="1320"/>
      <w:jc w:val="left"/>
    </w:pPr>
    <w:rPr>
      <w:rFonts w:ascii="Calibri" w:hAnsi="Calibri"/>
      <w:sz w:val="20"/>
      <w:szCs w:val="20"/>
    </w:rPr>
  </w:style>
  <w:style w:type="paragraph" w:styleId="TOC8">
    <w:name w:val="toc 8"/>
    <w:basedOn w:val="Normal"/>
    <w:next w:val="Normal"/>
    <w:autoRedefine/>
    <w:uiPriority w:val="39"/>
    <w:unhideWhenUsed/>
    <w:rsid w:val="00547524"/>
    <w:pPr>
      <w:spacing w:before="0" w:after="0"/>
      <w:ind w:left="1540"/>
      <w:jc w:val="left"/>
    </w:pPr>
    <w:rPr>
      <w:rFonts w:ascii="Calibri" w:hAnsi="Calibri"/>
      <w:sz w:val="20"/>
      <w:szCs w:val="20"/>
    </w:rPr>
  </w:style>
  <w:style w:type="paragraph" w:styleId="TOC9">
    <w:name w:val="toc 9"/>
    <w:basedOn w:val="Normal"/>
    <w:next w:val="Normal"/>
    <w:autoRedefine/>
    <w:uiPriority w:val="39"/>
    <w:unhideWhenUsed/>
    <w:rsid w:val="00547524"/>
    <w:pPr>
      <w:spacing w:before="0" w:after="0"/>
      <w:ind w:left="1760"/>
      <w:jc w:val="left"/>
    </w:pPr>
    <w:rPr>
      <w:rFonts w:ascii="Calibri" w:hAnsi="Calibri"/>
      <w:sz w:val="20"/>
      <w:szCs w:val="20"/>
    </w:rPr>
  </w:style>
  <w:style w:type="paragraph" w:styleId="EndnoteText">
    <w:name w:val="endnote text"/>
    <w:basedOn w:val="Normal"/>
    <w:link w:val="EndnoteTextChar"/>
    <w:semiHidden/>
    <w:unhideWhenUsed/>
    <w:rsid w:val="00415801"/>
    <w:rPr>
      <w:sz w:val="20"/>
      <w:szCs w:val="20"/>
    </w:rPr>
  </w:style>
  <w:style w:type="character" w:customStyle="1" w:styleId="EndnoteTextChar">
    <w:name w:val="Endnote Text Char"/>
    <w:link w:val="EndnoteText"/>
    <w:semiHidden/>
    <w:rsid w:val="00415801"/>
    <w:rPr>
      <w:rFonts w:ascii="Arial" w:eastAsia="Calibri" w:hAnsi="Arial"/>
      <w:lang w:eastAsia="en-US"/>
    </w:rPr>
  </w:style>
  <w:style w:type="character" w:styleId="EndnoteReference">
    <w:name w:val="endnote reference"/>
    <w:semiHidden/>
    <w:unhideWhenUsed/>
    <w:rsid w:val="00415801"/>
    <w:rPr>
      <w:vertAlign w:val="superscript"/>
    </w:rPr>
  </w:style>
  <w:style w:type="character" w:styleId="UnresolvedMention">
    <w:name w:val="Unresolved Mention"/>
    <w:basedOn w:val="DefaultParagraphFont"/>
    <w:uiPriority w:val="99"/>
    <w:semiHidden/>
    <w:unhideWhenUsed/>
    <w:rsid w:val="0007777D"/>
    <w:rPr>
      <w:color w:val="605E5C"/>
      <w:shd w:val="clear" w:color="auto" w:fill="E1DFDD"/>
    </w:rPr>
  </w:style>
  <w:style w:type="character" w:customStyle="1" w:styleId="Heading4Char">
    <w:name w:val="Heading 4 Char"/>
    <w:basedOn w:val="DefaultParagraphFont"/>
    <w:link w:val="Heading4"/>
    <w:uiPriority w:val="9"/>
    <w:semiHidden/>
    <w:rsid w:val="00882398"/>
    <w:rPr>
      <w:rFonts w:asciiTheme="majorHAnsi" w:eastAsiaTheme="majorEastAsia" w:hAnsiTheme="majorHAnsi" w:cstheme="majorBidi"/>
      <w:iCs/>
      <w:color w:val="222A35" w:themeColor="text2" w:themeShade="80"/>
      <w:sz w:val="22"/>
      <w:szCs w:val="24"/>
      <w:lang w:eastAsia="en-US"/>
    </w:rPr>
  </w:style>
  <w:style w:type="character" w:customStyle="1" w:styleId="NoSpacingChar">
    <w:name w:val="No Spacing Char"/>
    <w:basedOn w:val="DefaultParagraphFont"/>
    <w:link w:val="NoSpacing"/>
    <w:uiPriority w:val="1"/>
    <w:rsid w:val="00882398"/>
    <w:rPr>
      <w:rFonts w:ascii="Calibri" w:eastAsia="Calibri" w:hAnsi="Calibri"/>
      <w:sz w:val="22"/>
      <w:szCs w:val="22"/>
      <w:lang w:eastAsia="en-US"/>
    </w:rPr>
  </w:style>
  <w:style w:type="character" w:styleId="PageNumber">
    <w:name w:val="page number"/>
    <w:basedOn w:val="DefaultParagraphFont"/>
    <w:uiPriority w:val="99"/>
    <w:semiHidden/>
    <w:unhideWhenUsed/>
    <w:rsid w:val="00882398"/>
  </w:style>
  <w:style w:type="paragraph" w:customStyle="1" w:styleId="BasicParagraph">
    <w:name w:val="[Basic Paragraph]"/>
    <w:basedOn w:val="Normal"/>
    <w:uiPriority w:val="99"/>
    <w:rsid w:val="00547524"/>
    <w:pPr>
      <w:suppressAutoHyphens/>
      <w:autoSpaceDE w:val="0"/>
      <w:autoSpaceDN w:val="0"/>
      <w:adjustRightInd w:val="0"/>
      <w:spacing w:before="0" w:after="113" w:line="280" w:lineRule="atLeast"/>
      <w:jc w:val="left"/>
      <w:textAlignment w:val="center"/>
    </w:pPr>
    <w:rPr>
      <w:rFonts w:ascii="Frutiger" w:eastAsiaTheme="minorHAnsi" w:hAnsi="Frutiger" w:cs="Frutiger"/>
      <w:color w:val="000000"/>
    </w:rPr>
  </w:style>
  <w:style w:type="table" w:styleId="GridTable4">
    <w:name w:val="Grid Table 4"/>
    <w:basedOn w:val="TableNormal"/>
    <w:uiPriority w:val="49"/>
    <w:rsid w:val="00882398"/>
    <w:rPr>
      <w:rFonts w:asciiTheme="minorHAnsi" w:eastAsiaTheme="minorHAnsi" w:hAnsiTheme="minorHAnsi" w:cstheme="minorBidi"/>
      <w:sz w:val="22"/>
      <w:szCs w:val="24"/>
      <w:lang w:eastAsia="en-US"/>
    </w:rPr>
    <w:tblPr>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Pr>
    <w:tcPr>
      <w:shd w:val="clear" w:color="auto" w:fill="auto"/>
    </w:tcPr>
    <w:tblStylePr w:type="firstRow">
      <w:rPr>
        <w:b/>
        <w:bCs/>
        <w:color w:val="FFFFFF" w:themeColor="background1"/>
      </w:rPr>
      <w:tblPr/>
      <w:tcPr>
        <w:shd w:val="clear" w:color="auto" w:fill="005EB8"/>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style>
  <w:style w:type="paragraph" w:styleId="Subtitle">
    <w:name w:val="Subtitle"/>
    <w:basedOn w:val="Normal"/>
    <w:next w:val="Normal"/>
    <w:link w:val="SubtitleChar"/>
    <w:uiPriority w:val="11"/>
    <w:qFormat/>
    <w:rsid w:val="00547524"/>
    <w:pPr>
      <w:numPr>
        <w:ilvl w:val="1"/>
      </w:numPr>
      <w:spacing w:before="0" w:after="0"/>
      <w:jc w:val="left"/>
    </w:pPr>
    <w:rPr>
      <w:rFonts w:ascii="Arial Bold" w:eastAsiaTheme="minorEastAsia" w:hAnsi="Arial Bold" w:cstheme="minorBidi"/>
      <w:b/>
      <w:kern w:val="32"/>
      <w:sz w:val="24"/>
    </w:rPr>
  </w:style>
  <w:style w:type="character" w:customStyle="1" w:styleId="SubtitleChar">
    <w:name w:val="Subtitle Char"/>
    <w:basedOn w:val="DefaultParagraphFont"/>
    <w:link w:val="Subtitle"/>
    <w:uiPriority w:val="11"/>
    <w:rsid w:val="00882398"/>
    <w:rPr>
      <w:rFonts w:ascii="Arial Bold" w:eastAsiaTheme="minorEastAsia" w:hAnsi="Arial Bold" w:cstheme="minorBidi"/>
      <w:b/>
      <w:kern w:val="32"/>
      <w:sz w:val="24"/>
      <w:szCs w:val="22"/>
      <w:lang w:eastAsia="en-US"/>
    </w:rPr>
  </w:style>
  <w:style w:type="character" w:styleId="SubtleEmphasis">
    <w:name w:val="Subtle Emphasis"/>
    <w:basedOn w:val="DefaultParagraphFont"/>
    <w:uiPriority w:val="19"/>
    <w:rsid w:val="00882398"/>
    <w:rPr>
      <w:i/>
      <w:iCs/>
      <w:color w:val="005EB8"/>
    </w:rPr>
  </w:style>
  <w:style w:type="character" w:styleId="IntenseEmphasis">
    <w:name w:val="Intense Emphasis"/>
    <w:basedOn w:val="DefaultParagraphFont"/>
    <w:uiPriority w:val="21"/>
    <w:rsid w:val="00882398"/>
    <w:rPr>
      <w:i w:val="0"/>
      <w:iCs/>
      <w:color w:val="000000" w:themeColor="text1" w:themeShade="80"/>
    </w:rPr>
  </w:style>
  <w:style w:type="character" w:styleId="Strong">
    <w:name w:val="Strong"/>
    <w:aliases w:val="Cover title"/>
    <w:basedOn w:val="DefaultParagraphFont"/>
    <w:uiPriority w:val="22"/>
    <w:rsid w:val="00882398"/>
    <w:rPr>
      <w:b/>
      <w:bCs/>
      <w:color w:val="005EB8"/>
    </w:rPr>
  </w:style>
  <w:style w:type="paragraph" w:styleId="Quote">
    <w:name w:val="Quote"/>
    <w:basedOn w:val="Normal"/>
    <w:next w:val="Normal"/>
    <w:link w:val="QuoteChar"/>
    <w:uiPriority w:val="29"/>
    <w:rsid w:val="00547524"/>
    <w:pPr>
      <w:spacing w:before="200" w:after="160"/>
      <w:ind w:left="864" w:right="864"/>
      <w:jc w:val="center"/>
    </w:pPr>
    <w:rPr>
      <w:rFonts w:asciiTheme="minorHAnsi" w:eastAsiaTheme="minorHAnsi" w:hAnsiTheme="minorHAnsi" w:cstheme="minorBidi"/>
      <w:i/>
      <w:iCs/>
      <w:color w:val="005EB8"/>
      <w:szCs w:val="24"/>
    </w:rPr>
  </w:style>
  <w:style w:type="character" w:customStyle="1" w:styleId="QuoteChar">
    <w:name w:val="Quote Char"/>
    <w:basedOn w:val="DefaultParagraphFont"/>
    <w:link w:val="Quote"/>
    <w:uiPriority w:val="29"/>
    <w:rsid w:val="00882398"/>
    <w:rPr>
      <w:rFonts w:asciiTheme="minorHAnsi" w:eastAsiaTheme="minorHAnsi" w:hAnsiTheme="minorHAnsi" w:cstheme="minorBidi"/>
      <w:i/>
      <w:iCs/>
      <w:color w:val="005EB8"/>
      <w:sz w:val="22"/>
      <w:szCs w:val="24"/>
      <w:lang w:eastAsia="en-US"/>
    </w:rPr>
  </w:style>
  <w:style w:type="paragraph" w:styleId="IntenseQuote">
    <w:name w:val="Intense Quote"/>
    <w:aliases w:val="Cover titles"/>
    <w:basedOn w:val="Normal"/>
    <w:next w:val="Normal"/>
    <w:link w:val="IntenseQuoteChar"/>
    <w:uiPriority w:val="30"/>
    <w:rsid w:val="00547524"/>
    <w:pPr>
      <w:pBdr>
        <w:bottom w:val="single" w:sz="4" w:space="10" w:color="005EB8"/>
      </w:pBdr>
      <w:spacing w:before="360" w:after="0"/>
      <w:jc w:val="left"/>
    </w:pPr>
    <w:rPr>
      <w:rFonts w:asciiTheme="minorHAnsi" w:eastAsiaTheme="minorHAnsi" w:hAnsiTheme="minorHAnsi" w:cs="Times New Roman (Body CS)"/>
      <w:b/>
      <w:iCs/>
      <w:color w:val="005EB8"/>
      <w:spacing w:val="-6"/>
      <w:sz w:val="72"/>
      <w:szCs w:val="24"/>
    </w:rPr>
  </w:style>
  <w:style w:type="character" w:customStyle="1" w:styleId="IntenseQuoteChar">
    <w:name w:val="Intense Quote Char"/>
    <w:aliases w:val="Cover titles Char"/>
    <w:basedOn w:val="DefaultParagraphFont"/>
    <w:link w:val="IntenseQuote"/>
    <w:uiPriority w:val="30"/>
    <w:rsid w:val="00882398"/>
    <w:rPr>
      <w:rFonts w:asciiTheme="minorHAnsi" w:eastAsiaTheme="minorHAnsi" w:hAnsiTheme="minorHAnsi" w:cs="Times New Roman (Body CS)"/>
      <w:b/>
      <w:iCs/>
      <w:color w:val="005EB8"/>
      <w:spacing w:val="-6"/>
      <w:sz w:val="72"/>
      <w:szCs w:val="24"/>
      <w:lang w:eastAsia="en-US"/>
    </w:rPr>
  </w:style>
  <w:style w:type="character" w:styleId="SubtleReference">
    <w:name w:val="Subtle Reference"/>
    <w:basedOn w:val="DefaultParagraphFont"/>
    <w:uiPriority w:val="31"/>
    <w:rsid w:val="00882398"/>
    <w:rPr>
      <w:smallCaps/>
      <w:color w:val="005EB8"/>
    </w:rPr>
  </w:style>
  <w:style w:type="character" w:styleId="IntenseReference">
    <w:name w:val="Intense Reference"/>
    <w:basedOn w:val="DefaultParagraphFont"/>
    <w:uiPriority w:val="32"/>
    <w:rsid w:val="00882398"/>
    <w:rPr>
      <w:b/>
      <w:bCs/>
      <w:smallCaps/>
      <w:color w:val="005EB8"/>
      <w:spacing w:val="5"/>
    </w:rPr>
  </w:style>
  <w:style w:type="character" w:styleId="BookTitle">
    <w:name w:val="Book Title"/>
    <w:basedOn w:val="DefaultParagraphFont"/>
    <w:uiPriority w:val="33"/>
    <w:rsid w:val="00882398"/>
    <w:rPr>
      <w:b/>
      <w:bCs/>
      <w:i/>
      <w:iCs/>
      <w:color w:val="005EB8"/>
      <w:spacing w:val="5"/>
    </w:rPr>
  </w:style>
  <w:style w:type="table" w:styleId="GridTable4-Accent1">
    <w:name w:val="Grid Table 4 Accent 1"/>
    <w:basedOn w:val="TableNormal"/>
    <w:uiPriority w:val="49"/>
    <w:rsid w:val="00882398"/>
    <w:rPr>
      <w:rFonts w:asciiTheme="minorHAnsi" w:eastAsiaTheme="minorHAnsi" w:hAnsiTheme="minorHAnsi" w:cstheme="minorBidi"/>
      <w:sz w:val="24"/>
      <w:szCs w:val="24"/>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547524"/>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5472">
      <w:bodyDiv w:val="1"/>
      <w:marLeft w:val="0"/>
      <w:marRight w:val="0"/>
      <w:marTop w:val="0"/>
      <w:marBottom w:val="0"/>
      <w:divBdr>
        <w:top w:val="none" w:sz="0" w:space="0" w:color="auto"/>
        <w:left w:val="none" w:sz="0" w:space="0" w:color="auto"/>
        <w:bottom w:val="none" w:sz="0" w:space="0" w:color="auto"/>
        <w:right w:val="none" w:sz="0" w:space="0" w:color="auto"/>
      </w:divBdr>
    </w:div>
    <w:div w:id="27341067">
      <w:bodyDiv w:val="1"/>
      <w:marLeft w:val="0"/>
      <w:marRight w:val="0"/>
      <w:marTop w:val="0"/>
      <w:marBottom w:val="0"/>
      <w:divBdr>
        <w:top w:val="none" w:sz="0" w:space="0" w:color="auto"/>
        <w:left w:val="none" w:sz="0" w:space="0" w:color="auto"/>
        <w:bottom w:val="none" w:sz="0" w:space="0" w:color="auto"/>
        <w:right w:val="none" w:sz="0" w:space="0" w:color="auto"/>
      </w:divBdr>
      <w:divsChild>
        <w:div w:id="670717468">
          <w:marLeft w:val="0"/>
          <w:marRight w:val="0"/>
          <w:marTop w:val="0"/>
          <w:marBottom w:val="0"/>
          <w:divBdr>
            <w:top w:val="none" w:sz="0" w:space="0" w:color="auto"/>
            <w:left w:val="none" w:sz="0" w:space="0" w:color="auto"/>
            <w:bottom w:val="none" w:sz="0" w:space="0" w:color="auto"/>
            <w:right w:val="none" w:sz="0" w:space="0" w:color="auto"/>
          </w:divBdr>
          <w:divsChild>
            <w:div w:id="11598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7291">
      <w:bodyDiv w:val="1"/>
      <w:marLeft w:val="0"/>
      <w:marRight w:val="0"/>
      <w:marTop w:val="0"/>
      <w:marBottom w:val="0"/>
      <w:divBdr>
        <w:top w:val="none" w:sz="0" w:space="0" w:color="auto"/>
        <w:left w:val="none" w:sz="0" w:space="0" w:color="auto"/>
        <w:bottom w:val="none" w:sz="0" w:space="0" w:color="auto"/>
        <w:right w:val="none" w:sz="0" w:space="0" w:color="auto"/>
      </w:divBdr>
    </w:div>
    <w:div w:id="106629939">
      <w:bodyDiv w:val="1"/>
      <w:marLeft w:val="0"/>
      <w:marRight w:val="0"/>
      <w:marTop w:val="0"/>
      <w:marBottom w:val="0"/>
      <w:divBdr>
        <w:top w:val="none" w:sz="0" w:space="0" w:color="auto"/>
        <w:left w:val="none" w:sz="0" w:space="0" w:color="auto"/>
        <w:bottom w:val="none" w:sz="0" w:space="0" w:color="auto"/>
        <w:right w:val="none" w:sz="0" w:space="0" w:color="auto"/>
      </w:divBdr>
    </w:div>
    <w:div w:id="186526763">
      <w:bodyDiv w:val="1"/>
      <w:marLeft w:val="0"/>
      <w:marRight w:val="0"/>
      <w:marTop w:val="0"/>
      <w:marBottom w:val="0"/>
      <w:divBdr>
        <w:top w:val="none" w:sz="0" w:space="0" w:color="auto"/>
        <w:left w:val="none" w:sz="0" w:space="0" w:color="auto"/>
        <w:bottom w:val="none" w:sz="0" w:space="0" w:color="auto"/>
        <w:right w:val="none" w:sz="0" w:space="0" w:color="auto"/>
      </w:divBdr>
    </w:div>
    <w:div w:id="209878688">
      <w:bodyDiv w:val="1"/>
      <w:marLeft w:val="0"/>
      <w:marRight w:val="0"/>
      <w:marTop w:val="0"/>
      <w:marBottom w:val="0"/>
      <w:divBdr>
        <w:top w:val="none" w:sz="0" w:space="0" w:color="auto"/>
        <w:left w:val="none" w:sz="0" w:space="0" w:color="auto"/>
        <w:bottom w:val="none" w:sz="0" w:space="0" w:color="auto"/>
        <w:right w:val="none" w:sz="0" w:space="0" w:color="auto"/>
      </w:divBdr>
    </w:div>
    <w:div w:id="218366322">
      <w:bodyDiv w:val="1"/>
      <w:marLeft w:val="0"/>
      <w:marRight w:val="0"/>
      <w:marTop w:val="0"/>
      <w:marBottom w:val="0"/>
      <w:divBdr>
        <w:top w:val="none" w:sz="0" w:space="0" w:color="auto"/>
        <w:left w:val="none" w:sz="0" w:space="0" w:color="auto"/>
        <w:bottom w:val="none" w:sz="0" w:space="0" w:color="auto"/>
        <w:right w:val="none" w:sz="0" w:space="0" w:color="auto"/>
      </w:divBdr>
    </w:div>
    <w:div w:id="284964633">
      <w:bodyDiv w:val="1"/>
      <w:marLeft w:val="0"/>
      <w:marRight w:val="0"/>
      <w:marTop w:val="0"/>
      <w:marBottom w:val="0"/>
      <w:divBdr>
        <w:top w:val="none" w:sz="0" w:space="0" w:color="auto"/>
        <w:left w:val="none" w:sz="0" w:space="0" w:color="auto"/>
        <w:bottom w:val="none" w:sz="0" w:space="0" w:color="auto"/>
        <w:right w:val="none" w:sz="0" w:space="0" w:color="auto"/>
      </w:divBdr>
    </w:div>
    <w:div w:id="464011244">
      <w:bodyDiv w:val="1"/>
      <w:marLeft w:val="0"/>
      <w:marRight w:val="0"/>
      <w:marTop w:val="0"/>
      <w:marBottom w:val="0"/>
      <w:divBdr>
        <w:top w:val="none" w:sz="0" w:space="0" w:color="auto"/>
        <w:left w:val="none" w:sz="0" w:space="0" w:color="auto"/>
        <w:bottom w:val="none" w:sz="0" w:space="0" w:color="auto"/>
        <w:right w:val="none" w:sz="0" w:space="0" w:color="auto"/>
      </w:divBdr>
    </w:div>
    <w:div w:id="504562524">
      <w:bodyDiv w:val="1"/>
      <w:marLeft w:val="0"/>
      <w:marRight w:val="0"/>
      <w:marTop w:val="0"/>
      <w:marBottom w:val="0"/>
      <w:divBdr>
        <w:top w:val="none" w:sz="0" w:space="0" w:color="auto"/>
        <w:left w:val="none" w:sz="0" w:space="0" w:color="auto"/>
        <w:bottom w:val="none" w:sz="0" w:space="0" w:color="auto"/>
        <w:right w:val="none" w:sz="0" w:space="0" w:color="auto"/>
      </w:divBdr>
    </w:div>
    <w:div w:id="545214771">
      <w:bodyDiv w:val="1"/>
      <w:marLeft w:val="0"/>
      <w:marRight w:val="0"/>
      <w:marTop w:val="0"/>
      <w:marBottom w:val="0"/>
      <w:divBdr>
        <w:top w:val="none" w:sz="0" w:space="0" w:color="auto"/>
        <w:left w:val="none" w:sz="0" w:space="0" w:color="auto"/>
        <w:bottom w:val="none" w:sz="0" w:space="0" w:color="auto"/>
        <w:right w:val="none" w:sz="0" w:space="0" w:color="auto"/>
      </w:divBdr>
    </w:div>
    <w:div w:id="557279192">
      <w:bodyDiv w:val="1"/>
      <w:marLeft w:val="0"/>
      <w:marRight w:val="0"/>
      <w:marTop w:val="0"/>
      <w:marBottom w:val="0"/>
      <w:divBdr>
        <w:top w:val="none" w:sz="0" w:space="0" w:color="auto"/>
        <w:left w:val="none" w:sz="0" w:space="0" w:color="auto"/>
        <w:bottom w:val="none" w:sz="0" w:space="0" w:color="auto"/>
        <w:right w:val="none" w:sz="0" w:space="0" w:color="auto"/>
      </w:divBdr>
    </w:div>
    <w:div w:id="557982033">
      <w:bodyDiv w:val="1"/>
      <w:marLeft w:val="0"/>
      <w:marRight w:val="0"/>
      <w:marTop w:val="0"/>
      <w:marBottom w:val="0"/>
      <w:divBdr>
        <w:top w:val="none" w:sz="0" w:space="0" w:color="auto"/>
        <w:left w:val="none" w:sz="0" w:space="0" w:color="auto"/>
        <w:bottom w:val="none" w:sz="0" w:space="0" w:color="auto"/>
        <w:right w:val="none" w:sz="0" w:space="0" w:color="auto"/>
      </w:divBdr>
    </w:div>
    <w:div w:id="585849738">
      <w:bodyDiv w:val="1"/>
      <w:marLeft w:val="0"/>
      <w:marRight w:val="0"/>
      <w:marTop w:val="0"/>
      <w:marBottom w:val="0"/>
      <w:divBdr>
        <w:top w:val="none" w:sz="0" w:space="0" w:color="auto"/>
        <w:left w:val="none" w:sz="0" w:space="0" w:color="auto"/>
        <w:bottom w:val="none" w:sz="0" w:space="0" w:color="auto"/>
        <w:right w:val="none" w:sz="0" w:space="0" w:color="auto"/>
      </w:divBdr>
    </w:div>
    <w:div w:id="589002143">
      <w:bodyDiv w:val="1"/>
      <w:marLeft w:val="0"/>
      <w:marRight w:val="0"/>
      <w:marTop w:val="0"/>
      <w:marBottom w:val="0"/>
      <w:divBdr>
        <w:top w:val="none" w:sz="0" w:space="0" w:color="auto"/>
        <w:left w:val="none" w:sz="0" w:space="0" w:color="auto"/>
        <w:bottom w:val="none" w:sz="0" w:space="0" w:color="auto"/>
        <w:right w:val="none" w:sz="0" w:space="0" w:color="auto"/>
      </w:divBdr>
    </w:div>
    <w:div w:id="732775433">
      <w:bodyDiv w:val="1"/>
      <w:marLeft w:val="0"/>
      <w:marRight w:val="0"/>
      <w:marTop w:val="0"/>
      <w:marBottom w:val="0"/>
      <w:divBdr>
        <w:top w:val="none" w:sz="0" w:space="0" w:color="auto"/>
        <w:left w:val="none" w:sz="0" w:space="0" w:color="auto"/>
        <w:bottom w:val="none" w:sz="0" w:space="0" w:color="auto"/>
        <w:right w:val="none" w:sz="0" w:space="0" w:color="auto"/>
      </w:divBdr>
    </w:div>
    <w:div w:id="802382635">
      <w:bodyDiv w:val="1"/>
      <w:marLeft w:val="0"/>
      <w:marRight w:val="0"/>
      <w:marTop w:val="0"/>
      <w:marBottom w:val="0"/>
      <w:divBdr>
        <w:top w:val="none" w:sz="0" w:space="0" w:color="auto"/>
        <w:left w:val="none" w:sz="0" w:space="0" w:color="auto"/>
        <w:bottom w:val="none" w:sz="0" w:space="0" w:color="auto"/>
        <w:right w:val="none" w:sz="0" w:space="0" w:color="auto"/>
      </w:divBdr>
    </w:div>
    <w:div w:id="829448316">
      <w:bodyDiv w:val="1"/>
      <w:marLeft w:val="0"/>
      <w:marRight w:val="0"/>
      <w:marTop w:val="0"/>
      <w:marBottom w:val="0"/>
      <w:divBdr>
        <w:top w:val="none" w:sz="0" w:space="0" w:color="auto"/>
        <w:left w:val="none" w:sz="0" w:space="0" w:color="auto"/>
        <w:bottom w:val="none" w:sz="0" w:space="0" w:color="auto"/>
        <w:right w:val="none" w:sz="0" w:space="0" w:color="auto"/>
      </w:divBdr>
    </w:div>
    <w:div w:id="846018366">
      <w:bodyDiv w:val="1"/>
      <w:marLeft w:val="0"/>
      <w:marRight w:val="0"/>
      <w:marTop w:val="0"/>
      <w:marBottom w:val="0"/>
      <w:divBdr>
        <w:top w:val="none" w:sz="0" w:space="0" w:color="auto"/>
        <w:left w:val="none" w:sz="0" w:space="0" w:color="auto"/>
        <w:bottom w:val="none" w:sz="0" w:space="0" w:color="auto"/>
        <w:right w:val="none" w:sz="0" w:space="0" w:color="auto"/>
      </w:divBdr>
    </w:div>
    <w:div w:id="873270821">
      <w:bodyDiv w:val="1"/>
      <w:marLeft w:val="0"/>
      <w:marRight w:val="0"/>
      <w:marTop w:val="0"/>
      <w:marBottom w:val="0"/>
      <w:divBdr>
        <w:top w:val="none" w:sz="0" w:space="0" w:color="auto"/>
        <w:left w:val="none" w:sz="0" w:space="0" w:color="auto"/>
        <w:bottom w:val="none" w:sz="0" w:space="0" w:color="auto"/>
        <w:right w:val="none" w:sz="0" w:space="0" w:color="auto"/>
      </w:divBdr>
    </w:div>
    <w:div w:id="876897281">
      <w:bodyDiv w:val="1"/>
      <w:marLeft w:val="0"/>
      <w:marRight w:val="0"/>
      <w:marTop w:val="0"/>
      <w:marBottom w:val="0"/>
      <w:divBdr>
        <w:top w:val="none" w:sz="0" w:space="0" w:color="auto"/>
        <w:left w:val="none" w:sz="0" w:space="0" w:color="auto"/>
        <w:bottom w:val="none" w:sz="0" w:space="0" w:color="auto"/>
        <w:right w:val="none" w:sz="0" w:space="0" w:color="auto"/>
      </w:divBdr>
    </w:div>
    <w:div w:id="923297772">
      <w:bodyDiv w:val="1"/>
      <w:marLeft w:val="0"/>
      <w:marRight w:val="0"/>
      <w:marTop w:val="0"/>
      <w:marBottom w:val="0"/>
      <w:divBdr>
        <w:top w:val="none" w:sz="0" w:space="0" w:color="auto"/>
        <w:left w:val="none" w:sz="0" w:space="0" w:color="auto"/>
        <w:bottom w:val="none" w:sz="0" w:space="0" w:color="auto"/>
        <w:right w:val="none" w:sz="0" w:space="0" w:color="auto"/>
      </w:divBdr>
    </w:div>
    <w:div w:id="936210663">
      <w:bodyDiv w:val="1"/>
      <w:marLeft w:val="0"/>
      <w:marRight w:val="0"/>
      <w:marTop w:val="0"/>
      <w:marBottom w:val="0"/>
      <w:divBdr>
        <w:top w:val="none" w:sz="0" w:space="0" w:color="auto"/>
        <w:left w:val="none" w:sz="0" w:space="0" w:color="auto"/>
        <w:bottom w:val="none" w:sz="0" w:space="0" w:color="auto"/>
        <w:right w:val="none" w:sz="0" w:space="0" w:color="auto"/>
      </w:divBdr>
    </w:div>
    <w:div w:id="987824741">
      <w:bodyDiv w:val="1"/>
      <w:marLeft w:val="0"/>
      <w:marRight w:val="0"/>
      <w:marTop w:val="0"/>
      <w:marBottom w:val="0"/>
      <w:divBdr>
        <w:top w:val="none" w:sz="0" w:space="0" w:color="auto"/>
        <w:left w:val="none" w:sz="0" w:space="0" w:color="auto"/>
        <w:bottom w:val="none" w:sz="0" w:space="0" w:color="auto"/>
        <w:right w:val="none" w:sz="0" w:space="0" w:color="auto"/>
      </w:divBdr>
    </w:div>
    <w:div w:id="999119055">
      <w:bodyDiv w:val="1"/>
      <w:marLeft w:val="0"/>
      <w:marRight w:val="0"/>
      <w:marTop w:val="0"/>
      <w:marBottom w:val="0"/>
      <w:divBdr>
        <w:top w:val="none" w:sz="0" w:space="0" w:color="auto"/>
        <w:left w:val="none" w:sz="0" w:space="0" w:color="auto"/>
        <w:bottom w:val="none" w:sz="0" w:space="0" w:color="auto"/>
        <w:right w:val="none" w:sz="0" w:space="0" w:color="auto"/>
      </w:divBdr>
    </w:div>
    <w:div w:id="1044017592">
      <w:bodyDiv w:val="1"/>
      <w:marLeft w:val="0"/>
      <w:marRight w:val="0"/>
      <w:marTop w:val="0"/>
      <w:marBottom w:val="0"/>
      <w:divBdr>
        <w:top w:val="none" w:sz="0" w:space="0" w:color="auto"/>
        <w:left w:val="none" w:sz="0" w:space="0" w:color="auto"/>
        <w:bottom w:val="none" w:sz="0" w:space="0" w:color="auto"/>
        <w:right w:val="none" w:sz="0" w:space="0" w:color="auto"/>
      </w:divBdr>
    </w:div>
    <w:div w:id="1239906498">
      <w:bodyDiv w:val="1"/>
      <w:marLeft w:val="0"/>
      <w:marRight w:val="0"/>
      <w:marTop w:val="0"/>
      <w:marBottom w:val="0"/>
      <w:divBdr>
        <w:top w:val="none" w:sz="0" w:space="0" w:color="auto"/>
        <w:left w:val="none" w:sz="0" w:space="0" w:color="auto"/>
        <w:bottom w:val="none" w:sz="0" w:space="0" w:color="auto"/>
        <w:right w:val="none" w:sz="0" w:space="0" w:color="auto"/>
      </w:divBdr>
    </w:div>
    <w:div w:id="1269965077">
      <w:bodyDiv w:val="1"/>
      <w:marLeft w:val="0"/>
      <w:marRight w:val="0"/>
      <w:marTop w:val="0"/>
      <w:marBottom w:val="0"/>
      <w:divBdr>
        <w:top w:val="none" w:sz="0" w:space="0" w:color="auto"/>
        <w:left w:val="none" w:sz="0" w:space="0" w:color="auto"/>
        <w:bottom w:val="none" w:sz="0" w:space="0" w:color="auto"/>
        <w:right w:val="none" w:sz="0" w:space="0" w:color="auto"/>
      </w:divBdr>
    </w:div>
    <w:div w:id="1376850486">
      <w:bodyDiv w:val="1"/>
      <w:marLeft w:val="0"/>
      <w:marRight w:val="0"/>
      <w:marTop w:val="0"/>
      <w:marBottom w:val="0"/>
      <w:divBdr>
        <w:top w:val="none" w:sz="0" w:space="0" w:color="auto"/>
        <w:left w:val="none" w:sz="0" w:space="0" w:color="auto"/>
        <w:bottom w:val="none" w:sz="0" w:space="0" w:color="auto"/>
        <w:right w:val="none" w:sz="0" w:space="0" w:color="auto"/>
      </w:divBdr>
    </w:div>
    <w:div w:id="1390880062">
      <w:bodyDiv w:val="1"/>
      <w:marLeft w:val="0"/>
      <w:marRight w:val="0"/>
      <w:marTop w:val="0"/>
      <w:marBottom w:val="0"/>
      <w:divBdr>
        <w:top w:val="none" w:sz="0" w:space="0" w:color="auto"/>
        <w:left w:val="none" w:sz="0" w:space="0" w:color="auto"/>
        <w:bottom w:val="none" w:sz="0" w:space="0" w:color="auto"/>
        <w:right w:val="none" w:sz="0" w:space="0" w:color="auto"/>
      </w:divBdr>
    </w:div>
    <w:div w:id="1400248141">
      <w:bodyDiv w:val="1"/>
      <w:marLeft w:val="0"/>
      <w:marRight w:val="0"/>
      <w:marTop w:val="0"/>
      <w:marBottom w:val="0"/>
      <w:divBdr>
        <w:top w:val="none" w:sz="0" w:space="0" w:color="auto"/>
        <w:left w:val="none" w:sz="0" w:space="0" w:color="auto"/>
        <w:bottom w:val="none" w:sz="0" w:space="0" w:color="auto"/>
        <w:right w:val="none" w:sz="0" w:space="0" w:color="auto"/>
      </w:divBdr>
    </w:div>
    <w:div w:id="1463427164">
      <w:bodyDiv w:val="1"/>
      <w:marLeft w:val="0"/>
      <w:marRight w:val="0"/>
      <w:marTop w:val="0"/>
      <w:marBottom w:val="0"/>
      <w:divBdr>
        <w:top w:val="none" w:sz="0" w:space="0" w:color="auto"/>
        <w:left w:val="none" w:sz="0" w:space="0" w:color="auto"/>
        <w:bottom w:val="none" w:sz="0" w:space="0" w:color="auto"/>
        <w:right w:val="none" w:sz="0" w:space="0" w:color="auto"/>
      </w:divBdr>
    </w:div>
    <w:div w:id="1478037872">
      <w:bodyDiv w:val="1"/>
      <w:marLeft w:val="0"/>
      <w:marRight w:val="0"/>
      <w:marTop w:val="0"/>
      <w:marBottom w:val="0"/>
      <w:divBdr>
        <w:top w:val="none" w:sz="0" w:space="0" w:color="auto"/>
        <w:left w:val="none" w:sz="0" w:space="0" w:color="auto"/>
        <w:bottom w:val="none" w:sz="0" w:space="0" w:color="auto"/>
        <w:right w:val="none" w:sz="0" w:space="0" w:color="auto"/>
      </w:divBdr>
    </w:div>
    <w:div w:id="1488593615">
      <w:bodyDiv w:val="1"/>
      <w:marLeft w:val="0"/>
      <w:marRight w:val="0"/>
      <w:marTop w:val="0"/>
      <w:marBottom w:val="0"/>
      <w:divBdr>
        <w:top w:val="none" w:sz="0" w:space="0" w:color="auto"/>
        <w:left w:val="none" w:sz="0" w:space="0" w:color="auto"/>
        <w:bottom w:val="none" w:sz="0" w:space="0" w:color="auto"/>
        <w:right w:val="none" w:sz="0" w:space="0" w:color="auto"/>
      </w:divBdr>
    </w:div>
    <w:div w:id="1539732632">
      <w:bodyDiv w:val="1"/>
      <w:marLeft w:val="0"/>
      <w:marRight w:val="0"/>
      <w:marTop w:val="0"/>
      <w:marBottom w:val="0"/>
      <w:divBdr>
        <w:top w:val="none" w:sz="0" w:space="0" w:color="auto"/>
        <w:left w:val="none" w:sz="0" w:space="0" w:color="auto"/>
        <w:bottom w:val="none" w:sz="0" w:space="0" w:color="auto"/>
        <w:right w:val="none" w:sz="0" w:space="0" w:color="auto"/>
      </w:divBdr>
    </w:div>
    <w:div w:id="1554197889">
      <w:bodyDiv w:val="1"/>
      <w:marLeft w:val="0"/>
      <w:marRight w:val="0"/>
      <w:marTop w:val="0"/>
      <w:marBottom w:val="0"/>
      <w:divBdr>
        <w:top w:val="none" w:sz="0" w:space="0" w:color="auto"/>
        <w:left w:val="none" w:sz="0" w:space="0" w:color="auto"/>
        <w:bottom w:val="none" w:sz="0" w:space="0" w:color="auto"/>
        <w:right w:val="none" w:sz="0" w:space="0" w:color="auto"/>
      </w:divBdr>
    </w:div>
    <w:div w:id="1621912371">
      <w:bodyDiv w:val="1"/>
      <w:marLeft w:val="0"/>
      <w:marRight w:val="0"/>
      <w:marTop w:val="0"/>
      <w:marBottom w:val="0"/>
      <w:divBdr>
        <w:top w:val="none" w:sz="0" w:space="0" w:color="auto"/>
        <w:left w:val="none" w:sz="0" w:space="0" w:color="auto"/>
        <w:bottom w:val="none" w:sz="0" w:space="0" w:color="auto"/>
        <w:right w:val="none" w:sz="0" w:space="0" w:color="auto"/>
      </w:divBdr>
    </w:div>
    <w:div w:id="1669626637">
      <w:bodyDiv w:val="1"/>
      <w:marLeft w:val="0"/>
      <w:marRight w:val="0"/>
      <w:marTop w:val="0"/>
      <w:marBottom w:val="0"/>
      <w:divBdr>
        <w:top w:val="none" w:sz="0" w:space="0" w:color="auto"/>
        <w:left w:val="none" w:sz="0" w:space="0" w:color="auto"/>
        <w:bottom w:val="none" w:sz="0" w:space="0" w:color="auto"/>
        <w:right w:val="none" w:sz="0" w:space="0" w:color="auto"/>
      </w:divBdr>
    </w:div>
    <w:div w:id="1698702541">
      <w:bodyDiv w:val="1"/>
      <w:marLeft w:val="0"/>
      <w:marRight w:val="0"/>
      <w:marTop w:val="0"/>
      <w:marBottom w:val="0"/>
      <w:divBdr>
        <w:top w:val="none" w:sz="0" w:space="0" w:color="auto"/>
        <w:left w:val="none" w:sz="0" w:space="0" w:color="auto"/>
        <w:bottom w:val="none" w:sz="0" w:space="0" w:color="auto"/>
        <w:right w:val="none" w:sz="0" w:space="0" w:color="auto"/>
      </w:divBdr>
    </w:div>
    <w:div w:id="1716931037">
      <w:bodyDiv w:val="1"/>
      <w:marLeft w:val="0"/>
      <w:marRight w:val="0"/>
      <w:marTop w:val="0"/>
      <w:marBottom w:val="0"/>
      <w:divBdr>
        <w:top w:val="none" w:sz="0" w:space="0" w:color="auto"/>
        <w:left w:val="none" w:sz="0" w:space="0" w:color="auto"/>
        <w:bottom w:val="none" w:sz="0" w:space="0" w:color="auto"/>
        <w:right w:val="none" w:sz="0" w:space="0" w:color="auto"/>
      </w:divBdr>
    </w:div>
    <w:div w:id="1721133099">
      <w:bodyDiv w:val="1"/>
      <w:marLeft w:val="0"/>
      <w:marRight w:val="0"/>
      <w:marTop w:val="0"/>
      <w:marBottom w:val="0"/>
      <w:divBdr>
        <w:top w:val="none" w:sz="0" w:space="0" w:color="auto"/>
        <w:left w:val="none" w:sz="0" w:space="0" w:color="auto"/>
        <w:bottom w:val="none" w:sz="0" w:space="0" w:color="auto"/>
        <w:right w:val="none" w:sz="0" w:space="0" w:color="auto"/>
      </w:divBdr>
    </w:div>
    <w:div w:id="1732002855">
      <w:bodyDiv w:val="1"/>
      <w:marLeft w:val="0"/>
      <w:marRight w:val="0"/>
      <w:marTop w:val="0"/>
      <w:marBottom w:val="0"/>
      <w:divBdr>
        <w:top w:val="none" w:sz="0" w:space="0" w:color="auto"/>
        <w:left w:val="none" w:sz="0" w:space="0" w:color="auto"/>
        <w:bottom w:val="none" w:sz="0" w:space="0" w:color="auto"/>
        <w:right w:val="none" w:sz="0" w:space="0" w:color="auto"/>
      </w:divBdr>
    </w:div>
    <w:div w:id="1750807844">
      <w:bodyDiv w:val="1"/>
      <w:marLeft w:val="0"/>
      <w:marRight w:val="0"/>
      <w:marTop w:val="0"/>
      <w:marBottom w:val="0"/>
      <w:divBdr>
        <w:top w:val="none" w:sz="0" w:space="0" w:color="auto"/>
        <w:left w:val="none" w:sz="0" w:space="0" w:color="auto"/>
        <w:bottom w:val="none" w:sz="0" w:space="0" w:color="auto"/>
        <w:right w:val="none" w:sz="0" w:space="0" w:color="auto"/>
      </w:divBdr>
    </w:div>
    <w:div w:id="1815835746">
      <w:bodyDiv w:val="1"/>
      <w:marLeft w:val="0"/>
      <w:marRight w:val="0"/>
      <w:marTop w:val="0"/>
      <w:marBottom w:val="0"/>
      <w:divBdr>
        <w:top w:val="none" w:sz="0" w:space="0" w:color="auto"/>
        <w:left w:val="none" w:sz="0" w:space="0" w:color="auto"/>
        <w:bottom w:val="none" w:sz="0" w:space="0" w:color="auto"/>
        <w:right w:val="none" w:sz="0" w:space="0" w:color="auto"/>
      </w:divBdr>
    </w:div>
    <w:div w:id="1840920734">
      <w:bodyDiv w:val="1"/>
      <w:marLeft w:val="0"/>
      <w:marRight w:val="0"/>
      <w:marTop w:val="0"/>
      <w:marBottom w:val="0"/>
      <w:divBdr>
        <w:top w:val="none" w:sz="0" w:space="0" w:color="auto"/>
        <w:left w:val="none" w:sz="0" w:space="0" w:color="auto"/>
        <w:bottom w:val="none" w:sz="0" w:space="0" w:color="auto"/>
        <w:right w:val="none" w:sz="0" w:space="0" w:color="auto"/>
      </w:divBdr>
    </w:div>
    <w:div w:id="1927835739">
      <w:bodyDiv w:val="1"/>
      <w:marLeft w:val="0"/>
      <w:marRight w:val="0"/>
      <w:marTop w:val="0"/>
      <w:marBottom w:val="0"/>
      <w:divBdr>
        <w:top w:val="none" w:sz="0" w:space="0" w:color="auto"/>
        <w:left w:val="none" w:sz="0" w:space="0" w:color="auto"/>
        <w:bottom w:val="none" w:sz="0" w:space="0" w:color="auto"/>
        <w:right w:val="none" w:sz="0" w:space="0" w:color="auto"/>
      </w:divBdr>
    </w:div>
    <w:div w:id="1938368185">
      <w:bodyDiv w:val="1"/>
      <w:marLeft w:val="0"/>
      <w:marRight w:val="0"/>
      <w:marTop w:val="0"/>
      <w:marBottom w:val="0"/>
      <w:divBdr>
        <w:top w:val="none" w:sz="0" w:space="0" w:color="auto"/>
        <w:left w:val="none" w:sz="0" w:space="0" w:color="auto"/>
        <w:bottom w:val="none" w:sz="0" w:space="0" w:color="auto"/>
        <w:right w:val="none" w:sz="0" w:space="0" w:color="auto"/>
      </w:divBdr>
      <w:divsChild>
        <w:div w:id="1858880963">
          <w:marLeft w:val="0"/>
          <w:marRight w:val="0"/>
          <w:marTop w:val="0"/>
          <w:marBottom w:val="0"/>
          <w:divBdr>
            <w:top w:val="none" w:sz="0" w:space="0" w:color="auto"/>
            <w:left w:val="none" w:sz="0" w:space="0" w:color="auto"/>
            <w:bottom w:val="none" w:sz="0" w:space="0" w:color="auto"/>
            <w:right w:val="none" w:sz="0" w:space="0" w:color="auto"/>
          </w:divBdr>
          <w:divsChild>
            <w:div w:id="40109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737204">
      <w:bodyDiv w:val="1"/>
      <w:marLeft w:val="0"/>
      <w:marRight w:val="0"/>
      <w:marTop w:val="0"/>
      <w:marBottom w:val="0"/>
      <w:divBdr>
        <w:top w:val="none" w:sz="0" w:space="0" w:color="auto"/>
        <w:left w:val="none" w:sz="0" w:space="0" w:color="auto"/>
        <w:bottom w:val="none" w:sz="0" w:space="0" w:color="auto"/>
        <w:right w:val="none" w:sz="0" w:space="0" w:color="auto"/>
      </w:divBdr>
    </w:div>
    <w:div w:id="2025008595">
      <w:bodyDiv w:val="1"/>
      <w:marLeft w:val="0"/>
      <w:marRight w:val="0"/>
      <w:marTop w:val="0"/>
      <w:marBottom w:val="0"/>
      <w:divBdr>
        <w:top w:val="none" w:sz="0" w:space="0" w:color="auto"/>
        <w:left w:val="none" w:sz="0" w:space="0" w:color="auto"/>
        <w:bottom w:val="none" w:sz="0" w:space="0" w:color="auto"/>
        <w:right w:val="none" w:sz="0" w:space="0" w:color="auto"/>
      </w:divBdr>
    </w:div>
    <w:div w:id="2037465997">
      <w:bodyDiv w:val="1"/>
      <w:marLeft w:val="0"/>
      <w:marRight w:val="0"/>
      <w:marTop w:val="0"/>
      <w:marBottom w:val="0"/>
      <w:divBdr>
        <w:top w:val="none" w:sz="0" w:space="0" w:color="auto"/>
        <w:left w:val="none" w:sz="0" w:space="0" w:color="auto"/>
        <w:bottom w:val="none" w:sz="0" w:space="0" w:color="auto"/>
        <w:right w:val="none" w:sz="0" w:space="0" w:color="auto"/>
      </w:divBdr>
    </w:div>
    <w:div w:id="2050915758">
      <w:bodyDiv w:val="1"/>
      <w:marLeft w:val="0"/>
      <w:marRight w:val="0"/>
      <w:marTop w:val="0"/>
      <w:marBottom w:val="0"/>
      <w:divBdr>
        <w:top w:val="none" w:sz="0" w:space="0" w:color="auto"/>
        <w:left w:val="none" w:sz="0" w:space="0" w:color="auto"/>
        <w:bottom w:val="none" w:sz="0" w:space="0" w:color="auto"/>
        <w:right w:val="none" w:sz="0" w:space="0" w:color="auto"/>
      </w:divBdr>
    </w:div>
    <w:div w:id="2121682676">
      <w:bodyDiv w:val="1"/>
      <w:marLeft w:val="0"/>
      <w:marRight w:val="0"/>
      <w:marTop w:val="0"/>
      <w:marBottom w:val="0"/>
      <w:divBdr>
        <w:top w:val="none" w:sz="0" w:space="0" w:color="auto"/>
        <w:left w:val="none" w:sz="0" w:space="0" w:color="auto"/>
        <w:bottom w:val="none" w:sz="0" w:space="0" w:color="auto"/>
        <w:right w:val="none" w:sz="0" w:space="0" w:color="auto"/>
      </w:divBdr>
    </w:div>
    <w:div w:id="2134329348">
      <w:bodyDiv w:val="1"/>
      <w:marLeft w:val="0"/>
      <w:marRight w:val="0"/>
      <w:marTop w:val="0"/>
      <w:marBottom w:val="0"/>
      <w:divBdr>
        <w:top w:val="none" w:sz="0" w:space="0" w:color="auto"/>
        <w:left w:val="none" w:sz="0" w:space="0" w:color="auto"/>
        <w:bottom w:val="none" w:sz="0" w:space="0" w:color="auto"/>
        <w:right w:val="none" w:sz="0" w:space="0" w:color="auto"/>
      </w:divBdr>
    </w:div>
    <w:div w:id="214519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ngland.nhs.uk/ahp/med-project/dietitians/" TargetMode="External"/><Relationship Id="rId21" Type="http://schemas.openxmlformats.org/officeDocument/2006/relationships/hyperlink" Target="https://bnf.nice.org.uk/nurse-prescribers-formulary/index.html" TargetMode="External"/><Relationship Id="rId42" Type="http://schemas.openxmlformats.org/officeDocument/2006/relationships/hyperlink" Target="https://www.gov.uk/drug-safety-update/antiepileptic-drugs-new-advice-on-switching-between-different-manufacturers-products-for-a-particular-drug" TargetMode="External"/><Relationship Id="rId47" Type="http://schemas.openxmlformats.org/officeDocument/2006/relationships/hyperlink" Target="https://yellowcard.mhra.gov.uk/" TargetMode="External"/><Relationship Id="rId63" Type="http://schemas.openxmlformats.org/officeDocument/2006/relationships/hyperlink" Target="https://bnf.nice.org.uk/guidance/non-medical-prescribing.html" TargetMode="External"/><Relationship Id="rId68" Type="http://schemas.openxmlformats.org/officeDocument/2006/relationships/hyperlink" Target="https://www.england.nhs.uk/ahp/med-project/dietitians/" TargetMode="External"/><Relationship Id="rId84" Type="http://schemas.openxmlformats.org/officeDocument/2006/relationships/hyperlink" Target="https://yellowcard.mhra.gov.uk/" TargetMode="External"/><Relationship Id="rId89" Type="http://schemas.openxmlformats.org/officeDocument/2006/relationships/hyperlink" Target="https://webarchive.nationalarchives.gov.uk/20080729210628/http:/www.dh.gov.uk/en/Publicationsandstatistics/Publications/PublicationsPolicyAndGuidance/DH_4105222" TargetMode="External"/><Relationship Id="rId7" Type="http://schemas.openxmlformats.org/officeDocument/2006/relationships/settings" Target="settings.xml"/><Relationship Id="rId71" Type="http://schemas.openxmlformats.org/officeDocument/2006/relationships/hyperlink" Target="https://www.nmc.org.uk/standards/standards-for-post-registration/standards-for-prescribers/standards-of-proficiency-for-nurse-and-midwife-prescribers/" TargetMode="External"/><Relationship Id="rId92" Type="http://schemas.openxmlformats.org/officeDocument/2006/relationships/hyperlink" Target="https://www.optical.org/en/Education/Specialty_qualifications/Therapeutic_Prescribing_Specialties.cfm" TargetMode="External"/><Relationship Id="rId2" Type="http://schemas.openxmlformats.org/officeDocument/2006/relationships/customXml" Target="../customXml/item2.xml"/><Relationship Id="rId16" Type="http://schemas.openxmlformats.org/officeDocument/2006/relationships/hyperlink" Target="http://thccgintranet/Prescribing/Pages/default.aspx" TargetMode="External"/><Relationship Id="rId29" Type="http://schemas.openxmlformats.org/officeDocument/2006/relationships/hyperlink" Target="https://www.nmc.org.uk/standards/standards-for-post-registration/standards-for-prescribers/standards-of-proficiency-for-nurse-and-midwife-prescribers/" TargetMode="External"/><Relationship Id="rId107" Type="http://schemas.openxmlformats.org/officeDocument/2006/relationships/theme" Target="theme/theme1.xml"/><Relationship Id="rId11" Type="http://schemas.openxmlformats.org/officeDocument/2006/relationships/image" Target="media/image1.png"/><Relationship Id="rId24" Type="http://schemas.openxmlformats.org/officeDocument/2006/relationships/hyperlink" Target="https://bnf.nice.org.uk/guidance/non-medical-prescribing.html" TargetMode="External"/><Relationship Id="rId32" Type="http://schemas.openxmlformats.org/officeDocument/2006/relationships/hyperlink" Target="https://www.rpharms.com/resources/frameworks/prescribers-competency-framework" TargetMode="External"/><Relationship Id="rId37" Type="http://schemas.openxmlformats.org/officeDocument/2006/relationships/hyperlink" Target="http://nww.towerhamletsccg.nhs.uk/organisation/performance/Pages/Safeguarding.aspx" TargetMode="External"/><Relationship Id="rId40" Type="http://schemas.openxmlformats.org/officeDocument/2006/relationships/hyperlink" Target="https://www.gov.uk/drug-safety-update/antiepileptic-drugs-new-advice-on-switching-between-different-manufacturers-products-for-a-particular-drug" TargetMode="External"/><Relationship Id="rId45" Type="http://schemas.openxmlformats.org/officeDocument/2006/relationships/hyperlink" Target="https://www.gmc-uk.org/ethical-guidance/ethical-guidance-for-doctors/prescribing-and-managing-medicines-and-devices/prescribing-unlicensed-medicines" TargetMode="External"/><Relationship Id="rId53" Type="http://schemas.openxmlformats.org/officeDocument/2006/relationships/hyperlink" Target="https://bnf.nice.org.uk/guidance/guidance-on-prescribing.html" TargetMode="External"/><Relationship Id="rId58" Type="http://schemas.openxmlformats.org/officeDocument/2006/relationships/image" Target="media/image4.png"/><Relationship Id="rId66" Type="http://schemas.openxmlformats.org/officeDocument/2006/relationships/hyperlink" Target="https://www.england.nhs.uk/ahp/med-project/radiographers/" TargetMode="External"/><Relationship Id="rId74" Type="http://schemas.openxmlformats.org/officeDocument/2006/relationships/hyperlink" Target="https://www.rpharms.com/resources/frameworks/prescribers-competency-framework" TargetMode="External"/><Relationship Id="rId79" Type="http://schemas.openxmlformats.org/officeDocument/2006/relationships/hyperlink" Target="https://www.gov.uk/government/publications/supply-unlicensed-medicinal-products-specials" TargetMode="External"/><Relationship Id="rId87" Type="http://schemas.openxmlformats.org/officeDocument/2006/relationships/hyperlink" Target="https://www.rpharms.com/publications/the-mep" TargetMode="External"/><Relationship Id="rId102" Type="http://schemas.openxmlformats.org/officeDocument/2006/relationships/hyperlink" Target="https://www.rpharms.com/resources/ultimate-guides-and-hubs/independent-prescribers" TargetMode="External"/><Relationship Id="rId5" Type="http://schemas.openxmlformats.org/officeDocument/2006/relationships/numbering" Target="numbering.xml"/><Relationship Id="rId61" Type="http://schemas.openxmlformats.org/officeDocument/2006/relationships/hyperlink" Target="https://www.rpharms.com/publications/the-mep" TargetMode="External"/><Relationship Id="rId82" Type="http://schemas.openxmlformats.org/officeDocument/2006/relationships/hyperlink" Target="https://www.gmc-uk.org/ethical-guidance/ethical-guidance-for-doctors/prescribing-and-managing-medicines-and-devices/prescribing-unlicensed-medicines" TargetMode="External"/><Relationship Id="rId90" Type="http://schemas.openxmlformats.org/officeDocument/2006/relationships/hyperlink" Target="https://webarchive.nationalarchives.gov.uk/20070305210912/http:/www.dh.gov.uk/PublicationsAndStatistics/Publications/PublicationsPolicyAndGuidance/PublicationsPolicyAndGuidanceArticle/fs/en?CONTENT_ID=4110032&amp;chk=c4V6nR" TargetMode="External"/><Relationship Id="rId95" Type="http://schemas.openxmlformats.org/officeDocument/2006/relationships/hyperlink" Target="http://www.legislation.gov.uk/ukpga/1992/28/pdfs/ukpga_19920028_en.pdf" TargetMode="External"/><Relationship Id="rId19" Type="http://schemas.openxmlformats.org/officeDocument/2006/relationships/hyperlink" Target="https://bnf.nice.org.uk/guidance/non-medical-prescribing.html" TargetMode="External"/><Relationship Id="rId14" Type="http://schemas.openxmlformats.org/officeDocument/2006/relationships/footer" Target="footer2.xml"/><Relationship Id="rId22" Type="http://schemas.openxmlformats.org/officeDocument/2006/relationships/hyperlink" Target="https://bnf.nice.org.uk/guidance/non-medical-prescribing.html" TargetMode="External"/><Relationship Id="rId27" Type="http://schemas.openxmlformats.org/officeDocument/2006/relationships/hyperlink" Target="https://www.england.nhs.uk/ahp/med-project/orthoptists/" TargetMode="External"/><Relationship Id="rId30" Type="http://schemas.openxmlformats.org/officeDocument/2006/relationships/hyperlink" Target="https://www.pharmacyregulation.org/standards-for-pharmacy-professionals" TargetMode="External"/><Relationship Id="rId35" Type="http://schemas.openxmlformats.org/officeDocument/2006/relationships/hyperlink" Target="http://www.walthamforestccg.nhs.uk/about/publications.htm" TargetMode="External"/><Relationship Id="rId43" Type="http://schemas.openxmlformats.org/officeDocument/2006/relationships/hyperlink" Target="https://www.gov.uk/government/publications/supply-unlicensed-medicinal-products-specials" TargetMode="External"/><Relationship Id="rId48" Type="http://schemas.openxmlformats.org/officeDocument/2006/relationships/hyperlink" Target="https://cfa.nhs.uk/fraud-prevention/fraud-guidance" TargetMode="External"/><Relationship Id="rId56" Type="http://schemas.openxmlformats.org/officeDocument/2006/relationships/image" Target="media/image3.png"/><Relationship Id="rId64" Type="http://schemas.openxmlformats.org/officeDocument/2006/relationships/hyperlink" Target="https://www.gov.uk/search/all?keywords=non-medical+prescribing&amp;order=relevance" TargetMode="External"/><Relationship Id="rId69" Type="http://schemas.openxmlformats.org/officeDocument/2006/relationships/hyperlink" Target="https://www.england.nhs.uk/ahp/med-project/orthoptists/" TargetMode="External"/><Relationship Id="rId77" Type="http://schemas.openxmlformats.org/officeDocument/2006/relationships/hyperlink" Target="https://www.gov.uk/drug-safety-update/antiepileptic-drugs-new-advice-on-switching-between-different-manufacturers-products-for-a-particular-drug" TargetMode="External"/><Relationship Id="rId100" Type="http://schemas.openxmlformats.org/officeDocument/2006/relationships/hyperlink" Target="https://www.nmc.org.uk/standards/standards-for-post-registration/standards-for-medicines-management/" TargetMode="External"/><Relationship Id="rId105"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www.rpharms.com/resources/frameworks/prescribers-competency-framework" TargetMode="External"/><Relationship Id="rId72" Type="http://schemas.openxmlformats.org/officeDocument/2006/relationships/hyperlink" Target="https://www.pharmacyregulation.org/standards-for-pharmacy-professionals" TargetMode="External"/><Relationship Id="rId80" Type="http://schemas.openxmlformats.org/officeDocument/2006/relationships/hyperlink" Target="https://www.sps.nhs.uk/articles/what-are-the-therapeutic-options-for-patients-unable-to-take-solid-oral-dosage-forms/" TargetMode="External"/><Relationship Id="rId85" Type="http://schemas.openxmlformats.org/officeDocument/2006/relationships/hyperlink" Target="https://cfa.nhs.uk/fraud-prevention/fraud-guidance" TargetMode="External"/><Relationship Id="rId93" Type="http://schemas.openxmlformats.org/officeDocument/2006/relationships/hyperlink" Target="https://www.pharmacyregulation.org/" TargetMode="External"/><Relationship Id="rId98" Type="http://schemas.openxmlformats.org/officeDocument/2006/relationships/hyperlink" Target="http://bnf.walthamforestccg.nhs.uk:8080/bnf/view/page/doctree/2000002"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gp.walthamforestccg.nhs.uk/management/medicines/" TargetMode="External"/><Relationship Id="rId25" Type="http://schemas.openxmlformats.org/officeDocument/2006/relationships/hyperlink" Target="https://www.england.nhs.uk/ahp/med-project/paramedics/" TargetMode="External"/><Relationship Id="rId33" Type="http://schemas.openxmlformats.org/officeDocument/2006/relationships/hyperlink" Target="https://www.rpharms.com/Portals/0/RPS%20document%20library/Open%20access/Professional%20standards/DPP%20Framework/DPP%20competency%20framework%20Dec%202019.pdf?ver=2019-12-16-110751-883" TargetMode="External"/><Relationship Id="rId38" Type="http://schemas.openxmlformats.org/officeDocument/2006/relationships/hyperlink" Target="https://www.hee.nhs.uk/our-work/medicines-optimisation/training-non-medical-prescribers" TargetMode="External"/><Relationship Id="rId46" Type="http://schemas.openxmlformats.org/officeDocument/2006/relationships/hyperlink" Target="https://bnf.nice.org.uk/" TargetMode="External"/><Relationship Id="rId59" Type="http://schemas.openxmlformats.org/officeDocument/2006/relationships/hyperlink" Target="https://www.nhsbsa.nhs.uk/ccgs-area-teams-and-other-providers/organisation-and-prescriber-changes/ccgs" TargetMode="External"/><Relationship Id="rId67" Type="http://schemas.openxmlformats.org/officeDocument/2006/relationships/hyperlink" Target="https://www.england.nhs.uk/ahp/med-project/paramedics/" TargetMode="External"/><Relationship Id="rId103" Type="http://schemas.openxmlformats.org/officeDocument/2006/relationships/hyperlink" Target="https://www.rpharms.com/resources/frameworks/prescribers-competency-framework" TargetMode="External"/><Relationship Id="rId20" Type="http://schemas.openxmlformats.org/officeDocument/2006/relationships/hyperlink" Target="https://www.gov.uk/search/all?keywords=non-medical+prescribing&amp;order=relevance" TargetMode="External"/><Relationship Id="rId41" Type="http://schemas.openxmlformats.org/officeDocument/2006/relationships/hyperlink" Target="https://www.sps.nhs.uk/articles/which-medicines-should-be-considered-for-brand-name-prescribing-in-primary-care/" TargetMode="External"/><Relationship Id="rId54" Type="http://schemas.openxmlformats.org/officeDocument/2006/relationships/hyperlink" Target="mailto:nelondon.tnwmedicinesoptimisation@nhs.net" TargetMode="External"/><Relationship Id="rId62" Type="http://schemas.openxmlformats.org/officeDocument/2006/relationships/hyperlink" Target="https://www.england.nhs.uk/ahp/med-project/" TargetMode="External"/><Relationship Id="rId70" Type="http://schemas.openxmlformats.org/officeDocument/2006/relationships/hyperlink" Target="https://www.england.nhs.uk/gp/case-studies/the-physician-associate-will-see-you-now-new-role-to-assist-patients-in-primary-care/" TargetMode="External"/><Relationship Id="rId75" Type="http://schemas.openxmlformats.org/officeDocument/2006/relationships/hyperlink" Target="https://www.rpharms.com/resources/frameworks/designated-prescribing-practitioner-competency-framework" TargetMode="External"/><Relationship Id="rId83" Type="http://schemas.openxmlformats.org/officeDocument/2006/relationships/hyperlink" Target="https://bnf.nice.org.uk/" TargetMode="External"/><Relationship Id="rId88" Type="http://schemas.openxmlformats.org/officeDocument/2006/relationships/hyperlink" Target="https://webarchive.nationalarchives.gov.uk/20081108011446/http:/www.dh.gov.uk/en/Publicationsandstatistics/Publications/PublicationsPolicyAndGuidance/DH_4133743" TargetMode="External"/><Relationship Id="rId91" Type="http://schemas.openxmlformats.org/officeDocument/2006/relationships/hyperlink" Target="https://www.gov.uk/government/news/nurse-and-pharmacist-independent-prescribing-changes-announced" TargetMode="External"/><Relationship Id="rId96" Type="http://schemas.openxmlformats.org/officeDocument/2006/relationships/hyperlink" Target="https://digital.nhs.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nww.newhamccg.nhs.uk/clinical/medicinesmanagement/Pages/default.aspx" TargetMode="External"/><Relationship Id="rId23" Type="http://schemas.openxmlformats.org/officeDocument/2006/relationships/hyperlink" Target="https://www.england.nhs.uk/ahp/med-project/radiographers/" TargetMode="External"/><Relationship Id="rId28" Type="http://schemas.openxmlformats.org/officeDocument/2006/relationships/hyperlink" Target="https://www.england.nhs.uk/gp/case-studies/the-physician-associate-will-see-you-now-new-role-to-assist-patients-in-primary-care/" TargetMode="External"/><Relationship Id="rId36" Type="http://schemas.openxmlformats.org/officeDocument/2006/relationships/hyperlink" Target="http://nww.newhamccg.nhs.uk/clinical/Safeguarding/Pages/default.aspx" TargetMode="External"/><Relationship Id="rId49" Type="http://schemas.openxmlformats.org/officeDocument/2006/relationships/hyperlink" Target="https://www.england.nhs.uk/publication/managing-conflicts-of-interest-revised-statutory-guidance-for-ccgs-2017/" TargetMode="External"/><Relationship Id="rId57" Type="http://schemas.openxmlformats.org/officeDocument/2006/relationships/hyperlink" Target="https://www.nhsbsa.nhs.uk/ccgs-area-teams-and-other-providers/organisation-and-prescriber-changes/ccgs" TargetMode="External"/><Relationship Id="rId106"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gmc-uk.org/ethical-guidance/ethical-guidance-for-doctors/prescribing-and-managing-medicines-and-devices" TargetMode="External"/><Relationship Id="rId44" Type="http://schemas.openxmlformats.org/officeDocument/2006/relationships/hyperlink" Target="https://www.rpharms.com/Portals/0/RPS%20document%20library/Open%20access/Support/toolkit/professional-standards---prescribing-specials.pdf" TargetMode="External"/><Relationship Id="rId52" Type="http://schemas.openxmlformats.org/officeDocument/2006/relationships/hyperlink" Target="https://www.gmc-uk.org/ethical-guidance/ethical-guidance-for-doctors/prescribing-and-managing-medicines-and-devices" TargetMode="External"/><Relationship Id="rId60" Type="http://schemas.openxmlformats.org/officeDocument/2006/relationships/image" Target="media/image5.png"/><Relationship Id="rId65" Type="http://schemas.openxmlformats.org/officeDocument/2006/relationships/hyperlink" Target="https://bnf.nice.org.uk/nurse-prescribers-formulary/index.html" TargetMode="External"/><Relationship Id="rId73" Type="http://schemas.openxmlformats.org/officeDocument/2006/relationships/hyperlink" Target="https://www.gmc-uk.org/ethical-guidance/ethical-guidance-for-doctors/prescribing-and-managing-medicines-and-devices" TargetMode="External"/><Relationship Id="rId78" Type="http://schemas.openxmlformats.org/officeDocument/2006/relationships/hyperlink" Target="https://www.sps.nhs.uk/articles/which-medicines-should-be-considered-for-brand-name-prescribing-in-primary-care/" TargetMode="External"/><Relationship Id="rId81" Type="http://schemas.openxmlformats.org/officeDocument/2006/relationships/hyperlink" Target="https://www.rpharms.com/Portals/0/RPS%20document%20library/Open%20access/Support/toolkit/professional-standards---prescribing-specials.pdf" TargetMode="External"/><Relationship Id="rId86" Type="http://schemas.openxmlformats.org/officeDocument/2006/relationships/hyperlink" Target="https://www.england.nhs.uk/publication/managing-conflicts-of-interest-revised-statutory-guidance-for-ccgs-2017/" TargetMode="External"/><Relationship Id="rId94" Type="http://schemas.openxmlformats.org/officeDocument/2006/relationships/hyperlink" Target="https://www.pharmacyregulation.org/education/pharmacist-independent-prescriber" TargetMode="External"/><Relationship Id="rId99" Type="http://schemas.openxmlformats.org/officeDocument/2006/relationships/hyperlink" Target="https://www.nmc.org.uk/" TargetMode="External"/><Relationship Id="rId101" Type="http://schemas.openxmlformats.org/officeDocument/2006/relationships/hyperlink" Target="https://www.nmc.org.uk/globalassets/sitedocuments/standards/nmc-standards-proficiency-nurse-and-midwife-prescribers.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england.nhs.uk/ahp/med-project/" TargetMode="External"/><Relationship Id="rId39" Type="http://schemas.openxmlformats.org/officeDocument/2006/relationships/hyperlink" Target="https://www.hee.nhs.uk/our-work/medicines-optimisation/training-non-medical-prescribers" TargetMode="External"/><Relationship Id="rId34" Type="http://schemas.openxmlformats.org/officeDocument/2006/relationships/hyperlink" Target="https://www.rpharms.com/resources/frameworks/designated-prescribing-practitioner-competency-framework" TargetMode="External"/><Relationship Id="rId50" Type="http://schemas.openxmlformats.org/officeDocument/2006/relationships/hyperlink" Target="mailto:nelondon.tnwmedicinesoptimisation@nhs.net" TargetMode="External"/><Relationship Id="rId55" Type="http://schemas.openxmlformats.org/officeDocument/2006/relationships/hyperlink" Target="https://www.nhsbsa.nhs.uk/ccgs-area-teams-and-other-providers/organisation-and-prescriber-changes/ccgs" TargetMode="External"/><Relationship Id="rId76" Type="http://schemas.openxmlformats.org/officeDocument/2006/relationships/hyperlink" Target="https://www.hee.nhs.uk/our-work/medicines-optimisation/training-non-medical-prescribers" TargetMode="External"/><Relationship Id="rId97" Type="http://schemas.openxmlformats.org/officeDocument/2006/relationships/hyperlink" Target="https://www.england.nhs.uk/ourwork/coi/" TargetMode="External"/><Relationship Id="rId10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ersonv\Downloads\NHS-Newham-CCG-Minutes-template-June-2017%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3DC5ABB010A3409C1B0BC61D57ADCA" ma:contentTypeVersion="19" ma:contentTypeDescription="Create a new document." ma:contentTypeScope="" ma:versionID="719f66a52c604387ed1d78ecfa8d9577">
  <xsd:schema xmlns:xsd="http://www.w3.org/2001/XMLSchema" xmlns:xs="http://www.w3.org/2001/XMLSchema" xmlns:p="http://schemas.microsoft.com/office/2006/metadata/properties" xmlns:ns1="http://schemas.microsoft.com/sharepoint/v3" xmlns:ns2="3569846d-3f8b-41c8-820d-2ff9739a3570" xmlns:ns3="bc5f7bc9-01bf-408b-9c3e-f1a9958c1e1c" targetNamespace="http://schemas.microsoft.com/office/2006/metadata/properties" ma:root="true" ma:fieldsID="f455b302dadf2a8a33ac975d96e19c75" ns1:_="" ns2:_="" ns3:_="">
    <xsd:import namespace="http://schemas.microsoft.com/sharepoint/v3"/>
    <xsd:import namespace="3569846d-3f8b-41c8-820d-2ff9739a3570"/>
    <xsd:import namespace="bc5f7bc9-01bf-408b-9c3e-f1a9958c1e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2:DocumentOwner" minOccurs="0"/>
                <xsd:element ref="ns2:Contex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9846d-3f8b-41c8-820d-2ff9739a3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Flow_SignoffStatus" ma:index="22" nillable="true" ma:displayName="Sign-off status" ma:internalName="Sign_x002d_off_x0020_status">
      <xsd:simpleType>
        <xsd:restriction base="dms:Text"/>
      </xsd:simpleType>
    </xsd:element>
    <xsd:element name="DocumentOwner" ma:index="23" nillable="true" ma:displayName="Document Owner" ma:format="Dropdown" ma:list="UserInfo" ma:SharePointGroup="0"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xt" ma:index="24" nillable="true" ma:displayName="Context" ma:format="Dropdown" ma:internalName="Context">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5f7bc9-01bf-408b-9c3e-f1a9958c1e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12fe2ea-da89-4a5f-8144-cdef18776a3a}" ma:internalName="TaxCatchAll" ma:showField="CatchAllData" ma:web="bc5f7bc9-01bf-408b-9c3e-f1a9958c1e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cumentOwner xmlns="3569846d-3f8b-41c8-820d-2ff9739a3570">
      <UserInfo>
        <DisplayName/>
        <AccountId xsi:nil="true"/>
        <AccountType/>
      </UserInfo>
    </DocumentOwner>
    <Context xmlns="3569846d-3f8b-41c8-820d-2ff9739a3570" xsi:nil="true"/>
    <TaxCatchAll xmlns="bc5f7bc9-01bf-408b-9c3e-f1a9958c1e1c" xsi:nil="true"/>
    <lcf76f155ced4ddcb4097134ff3c332f xmlns="3569846d-3f8b-41c8-820d-2ff9739a3570">
      <Terms xmlns="http://schemas.microsoft.com/office/infopath/2007/PartnerControls"/>
    </lcf76f155ced4ddcb4097134ff3c332f>
    <_ip_UnifiedCompliancePolicyProperties xmlns="http://schemas.microsoft.com/sharepoint/v3" xsi:nil="true"/>
    <_Flow_SignoffStatus xmlns="3569846d-3f8b-41c8-820d-2ff9739a357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4607E-8D45-4686-9F9F-94B280A650FA}"/>
</file>

<file path=customXml/itemProps2.xml><?xml version="1.0" encoding="utf-8"?>
<ds:datastoreItem xmlns:ds="http://schemas.openxmlformats.org/officeDocument/2006/customXml" ds:itemID="{66C60014-B88E-4800-872B-8BD1D86BC9A1}">
  <ds:schemaRefs>
    <ds:schemaRef ds:uri="http://schemas.microsoft.com/sharepoint/v3/contenttype/forms"/>
  </ds:schemaRefs>
</ds:datastoreItem>
</file>

<file path=customXml/itemProps3.xml><?xml version="1.0" encoding="utf-8"?>
<ds:datastoreItem xmlns:ds="http://schemas.openxmlformats.org/officeDocument/2006/customXml" ds:itemID="{9450DA4D-F8C1-4E80-A333-7C4C50AAA1F6}">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1EDAD23-E0C7-4F86-B006-2303F2735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NHS-Newham-CCG-Minutes-template-June-2017 (1)</Template>
  <TotalTime>188</TotalTime>
  <Pages>38</Pages>
  <Words>9141</Words>
  <Characters>71671</Characters>
  <Application>Microsoft Office Word</Application>
  <DocSecurity>0</DocSecurity>
  <Lines>597</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80651</CharactersWithSpaces>
  <SharedDoc>false</SharedDoc>
  <HLinks>
    <vt:vector size="834" baseType="variant">
      <vt:variant>
        <vt:i4>5374023</vt:i4>
      </vt:variant>
      <vt:variant>
        <vt:i4>558</vt:i4>
      </vt:variant>
      <vt:variant>
        <vt:i4>0</vt:i4>
      </vt:variant>
      <vt:variant>
        <vt:i4>5</vt:i4>
      </vt:variant>
      <vt:variant>
        <vt:lpwstr>https://www.rpharms.com/resources/frameworks/prescribers-competency-framework</vt:lpwstr>
      </vt:variant>
      <vt:variant>
        <vt:lpwstr/>
      </vt:variant>
      <vt:variant>
        <vt:i4>6357100</vt:i4>
      </vt:variant>
      <vt:variant>
        <vt:i4>555</vt:i4>
      </vt:variant>
      <vt:variant>
        <vt:i4>0</vt:i4>
      </vt:variant>
      <vt:variant>
        <vt:i4>5</vt:i4>
      </vt:variant>
      <vt:variant>
        <vt:lpwstr>https://www.rpharms.com/resources/ultimate-guides-and-hubs/independent-prescribers</vt:lpwstr>
      </vt:variant>
      <vt:variant>
        <vt:lpwstr/>
      </vt:variant>
      <vt:variant>
        <vt:i4>4063341</vt:i4>
      </vt:variant>
      <vt:variant>
        <vt:i4>552</vt:i4>
      </vt:variant>
      <vt:variant>
        <vt:i4>0</vt:i4>
      </vt:variant>
      <vt:variant>
        <vt:i4>5</vt:i4>
      </vt:variant>
      <vt:variant>
        <vt:lpwstr>https://www.nmc.org.uk/globalassets/sitedocuments/standards/nmc-standards-proficiency-nurse-and-midwife-prescribers.pdf</vt:lpwstr>
      </vt:variant>
      <vt:variant>
        <vt:lpwstr/>
      </vt:variant>
      <vt:variant>
        <vt:i4>4456525</vt:i4>
      </vt:variant>
      <vt:variant>
        <vt:i4>549</vt:i4>
      </vt:variant>
      <vt:variant>
        <vt:i4>0</vt:i4>
      </vt:variant>
      <vt:variant>
        <vt:i4>5</vt:i4>
      </vt:variant>
      <vt:variant>
        <vt:lpwstr>https://www.nmc.org.uk/standards/standards-for-post-registration/standards-for-medicines-management/</vt:lpwstr>
      </vt:variant>
      <vt:variant>
        <vt:lpwstr/>
      </vt:variant>
      <vt:variant>
        <vt:i4>3932208</vt:i4>
      </vt:variant>
      <vt:variant>
        <vt:i4>546</vt:i4>
      </vt:variant>
      <vt:variant>
        <vt:i4>0</vt:i4>
      </vt:variant>
      <vt:variant>
        <vt:i4>5</vt:i4>
      </vt:variant>
      <vt:variant>
        <vt:lpwstr>https://www.nmc.org.uk/</vt:lpwstr>
      </vt:variant>
      <vt:variant>
        <vt:lpwstr/>
      </vt:variant>
      <vt:variant>
        <vt:i4>393234</vt:i4>
      </vt:variant>
      <vt:variant>
        <vt:i4>543</vt:i4>
      </vt:variant>
      <vt:variant>
        <vt:i4>0</vt:i4>
      </vt:variant>
      <vt:variant>
        <vt:i4>5</vt:i4>
      </vt:variant>
      <vt:variant>
        <vt:lpwstr>http://bnf.walthamforestccg.nhs.uk:8080/bnf/view/page/doctree/2000002</vt:lpwstr>
      </vt:variant>
      <vt:variant>
        <vt:lpwstr/>
      </vt:variant>
      <vt:variant>
        <vt:i4>3407920</vt:i4>
      </vt:variant>
      <vt:variant>
        <vt:i4>540</vt:i4>
      </vt:variant>
      <vt:variant>
        <vt:i4>0</vt:i4>
      </vt:variant>
      <vt:variant>
        <vt:i4>5</vt:i4>
      </vt:variant>
      <vt:variant>
        <vt:lpwstr>https://www.england.nhs.uk/ourwork/coi/</vt:lpwstr>
      </vt:variant>
      <vt:variant>
        <vt:lpwstr/>
      </vt:variant>
      <vt:variant>
        <vt:i4>7536691</vt:i4>
      </vt:variant>
      <vt:variant>
        <vt:i4>537</vt:i4>
      </vt:variant>
      <vt:variant>
        <vt:i4>0</vt:i4>
      </vt:variant>
      <vt:variant>
        <vt:i4>5</vt:i4>
      </vt:variant>
      <vt:variant>
        <vt:lpwstr>https://digital.nhs.uk/</vt:lpwstr>
      </vt:variant>
      <vt:variant>
        <vt:lpwstr/>
      </vt:variant>
      <vt:variant>
        <vt:i4>1376274</vt:i4>
      </vt:variant>
      <vt:variant>
        <vt:i4>534</vt:i4>
      </vt:variant>
      <vt:variant>
        <vt:i4>0</vt:i4>
      </vt:variant>
      <vt:variant>
        <vt:i4>5</vt:i4>
      </vt:variant>
      <vt:variant>
        <vt:lpwstr>http://www.legislation.gov.uk/ukpga/1992/28/pdfs/ukpga_19920028_en.pdf</vt:lpwstr>
      </vt:variant>
      <vt:variant>
        <vt:lpwstr/>
      </vt:variant>
      <vt:variant>
        <vt:i4>2687075</vt:i4>
      </vt:variant>
      <vt:variant>
        <vt:i4>531</vt:i4>
      </vt:variant>
      <vt:variant>
        <vt:i4>0</vt:i4>
      </vt:variant>
      <vt:variant>
        <vt:i4>5</vt:i4>
      </vt:variant>
      <vt:variant>
        <vt:lpwstr>https://www.pharmacyregulation.org/education/pharmacist-independent-prescriber</vt:lpwstr>
      </vt:variant>
      <vt:variant>
        <vt:lpwstr/>
      </vt:variant>
      <vt:variant>
        <vt:i4>3407969</vt:i4>
      </vt:variant>
      <vt:variant>
        <vt:i4>528</vt:i4>
      </vt:variant>
      <vt:variant>
        <vt:i4>0</vt:i4>
      </vt:variant>
      <vt:variant>
        <vt:i4>5</vt:i4>
      </vt:variant>
      <vt:variant>
        <vt:lpwstr>https://www.pharmacyregulation.org/</vt:lpwstr>
      </vt:variant>
      <vt:variant>
        <vt:lpwstr/>
      </vt:variant>
      <vt:variant>
        <vt:i4>4849777</vt:i4>
      </vt:variant>
      <vt:variant>
        <vt:i4>525</vt:i4>
      </vt:variant>
      <vt:variant>
        <vt:i4>0</vt:i4>
      </vt:variant>
      <vt:variant>
        <vt:i4>5</vt:i4>
      </vt:variant>
      <vt:variant>
        <vt:lpwstr>https://www.optical.org/en/Education/Specialty_qualifications/Therapeutic_Prescribing_Specialties.cfm</vt:lpwstr>
      </vt:variant>
      <vt:variant>
        <vt:lpwstr/>
      </vt:variant>
      <vt:variant>
        <vt:i4>5832794</vt:i4>
      </vt:variant>
      <vt:variant>
        <vt:i4>522</vt:i4>
      </vt:variant>
      <vt:variant>
        <vt:i4>0</vt:i4>
      </vt:variant>
      <vt:variant>
        <vt:i4>5</vt:i4>
      </vt:variant>
      <vt:variant>
        <vt:lpwstr>https://www.gov.uk/government/news/nurse-and-pharmacist-independent-prescribing-changes-announced</vt:lpwstr>
      </vt:variant>
      <vt:variant>
        <vt:lpwstr/>
      </vt:variant>
      <vt:variant>
        <vt:i4>5046375</vt:i4>
      </vt:variant>
      <vt:variant>
        <vt:i4>519</vt:i4>
      </vt:variant>
      <vt:variant>
        <vt:i4>0</vt:i4>
      </vt:variant>
      <vt:variant>
        <vt:i4>5</vt:i4>
      </vt:variant>
      <vt:variant>
        <vt:lpwstr>https://webarchive.nationalarchives.gov.uk/20070305210912/http:/www.dh.gov.uk/PublicationsAndStatistics/Publications/PublicationsPolicyAndGuidance/PublicationsPolicyAndGuidanceArticle/fs/en?CONTENT_ID=4110032&amp;chk=c4V6nR</vt:lpwstr>
      </vt:variant>
      <vt:variant>
        <vt:lpwstr/>
      </vt:variant>
      <vt:variant>
        <vt:i4>4915233</vt:i4>
      </vt:variant>
      <vt:variant>
        <vt:i4>516</vt:i4>
      </vt:variant>
      <vt:variant>
        <vt:i4>0</vt:i4>
      </vt:variant>
      <vt:variant>
        <vt:i4>5</vt:i4>
      </vt:variant>
      <vt:variant>
        <vt:lpwstr>https://webarchive.nationalarchives.gov.uk/20080729210628/http:/www.dh.gov.uk/en/Publicationsandstatistics/Publications/PublicationsPolicyAndGuidance/DH_4105222</vt:lpwstr>
      </vt:variant>
      <vt:variant>
        <vt:lpwstr/>
      </vt:variant>
      <vt:variant>
        <vt:i4>4849706</vt:i4>
      </vt:variant>
      <vt:variant>
        <vt:i4>513</vt:i4>
      </vt:variant>
      <vt:variant>
        <vt:i4>0</vt:i4>
      </vt:variant>
      <vt:variant>
        <vt:i4>5</vt:i4>
      </vt:variant>
      <vt:variant>
        <vt:lpwstr>https://webarchive.nationalarchives.gov.uk/20081108011446/http:/www.dh.gov.uk/en/Publicationsandstatistics/Publications/PublicationsPolicyAndGuidance/DH_4133743</vt:lpwstr>
      </vt:variant>
      <vt:variant>
        <vt:lpwstr/>
      </vt:variant>
      <vt:variant>
        <vt:i4>4456519</vt:i4>
      </vt:variant>
      <vt:variant>
        <vt:i4>510</vt:i4>
      </vt:variant>
      <vt:variant>
        <vt:i4>0</vt:i4>
      </vt:variant>
      <vt:variant>
        <vt:i4>5</vt:i4>
      </vt:variant>
      <vt:variant>
        <vt:lpwstr>https://www.rpharms.com/publications/the-mep</vt:lpwstr>
      </vt:variant>
      <vt:variant>
        <vt:lpwstr/>
      </vt:variant>
      <vt:variant>
        <vt:i4>3932283</vt:i4>
      </vt:variant>
      <vt:variant>
        <vt:i4>507</vt:i4>
      </vt:variant>
      <vt:variant>
        <vt:i4>0</vt:i4>
      </vt:variant>
      <vt:variant>
        <vt:i4>5</vt:i4>
      </vt:variant>
      <vt:variant>
        <vt:lpwstr>https://www.england.nhs.uk/publication/managing-conflicts-of-interest-revised-statutory-guidance-for-ccgs-2017/</vt:lpwstr>
      </vt:variant>
      <vt:variant>
        <vt:lpwstr/>
      </vt:variant>
      <vt:variant>
        <vt:i4>7602232</vt:i4>
      </vt:variant>
      <vt:variant>
        <vt:i4>504</vt:i4>
      </vt:variant>
      <vt:variant>
        <vt:i4>0</vt:i4>
      </vt:variant>
      <vt:variant>
        <vt:i4>5</vt:i4>
      </vt:variant>
      <vt:variant>
        <vt:lpwstr>https://cfa.nhs.uk/fraud-prevention/fraud-guidance</vt:lpwstr>
      </vt:variant>
      <vt:variant>
        <vt:lpwstr>controlPrescriptionForms</vt:lpwstr>
      </vt:variant>
      <vt:variant>
        <vt:i4>7405672</vt:i4>
      </vt:variant>
      <vt:variant>
        <vt:i4>501</vt:i4>
      </vt:variant>
      <vt:variant>
        <vt:i4>0</vt:i4>
      </vt:variant>
      <vt:variant>
        <vt:i4>5</vt:i4>
      </vt:variant>
      <vt:variant>
        <vt:lpwstr>https://yellowcard.mhra.gov.uk/</vt:lpwstr>
      </vt:variant>
      <vt:variant>
        <vt:lpwstr/>
      </vt:variant>
      <vt:variant>
        <vt:i4>983120</vt:i4>
      </vt:variant>
      <vt:variant>
        <vt:i4>498</vt:i4>
      </vt:variant>
      <vt:variant>
        <vt:i4>0</vt:i4>
      </vt:variant>
      <vt:variant>
        <vt:i4>5</vt:i4>
      </vt:variant>
      <vt:variant>
        <vt:lpwstr>https://bnf.nice.org.uk/</vt:lpwstr>
      </vt:variant>
      <vt:variant>
        <vt:lpwstr/>
      </vt:variant>
      <vt:variant>
        <vt:i4>4521996</vt:i4>
      </vt:variant>
      <vt:variant>
        <vt:i4>495</vt:i4>
      </vt:variant>
      <vt:variant>
        <vt:i4>0</vt:i4>
      </vt:variant>
      <vt:variant>
        <vt:i4>5</vt:i4>
      </vt:variant>
      <vt:variant>
        <vt:lpwstr>https://www.gmc-uk.org/ethical-guidance/ethical-guidance-for-doctors/prescribing-and-managing-medicines-and-devices/prescribing-unlicensed-medicines</vt:lpwstr>
      </vt:variant>
      <vt:variant>
        <vt:lpwstr/>
      </vt:variant>
      <vt:variant>
        <vt:i4>5439573</vt:i4>
      </vt:variant>
      <vt:variant>
        <vt:i4>492</vt:i4>
      </vt:variant>
      <vt:variant>
        <vt:i4>0</vt:i4>
      </vt:variant>
      <vt:variant>
        <vt:i4>5</vt:i4>
      </vt:variant>
      <vt:variant>
        <vt:lpwstr>https://www.rpharms.com/Portals/0/RPS document library/Open access/Support/toolkit/professional-standards---prescribing-specials.pdf</vt:lpwstr>
      </vt:variant>
      <vt:variant>
        <vt:lpwstr/>
      </vt:variant>
      <vt:variant>
        <vt:i4>4653078</vt:i4>
      </vt:variant>
      <vt:variant>
        <vt:i4>489</vt:i4>
      </vt:variant>
      <vt:variant>
        <vt:i4>0</vt:i4>
      </vt:variant>
      <vt:variant>
        <vt:i4>5</vt:i4>
      </vt:variant>
      <vt:variant>
        <vt:lpwstr>https://www.sps.nhs.uk/articles/what-are-the-therapeutic-options-for-patients-unable-to-take-solid-oral-dosage-forms/</vt:lpwstr>
      </vt:variant>
      <vt:variant>
        <vt:lpwstr/>
      </vt:variant>
      <vt:variant>
        <vt:i4>5374032</vt:i4>
      </vt:variant>
      <vt:variant>
        <vt:i4>486</vt:i4>
      </vt:variant>
      <vt:variant>
        <vt:i4>0</vt:i4>
      </vt:variant>
      <vt:variant>
        <vt:i4>5</vt:i4>
      </vt:variant>
      <vt:variant>
        <vt:lpwstr>https://www.gov.uk/government/publications/supply-unlicensed-medicinal-products-specials</vt:lpwstr>
      </vt:variant>
      <vt:variant>
        <vt:lpwstr/>
      </vt:variant>
      <vt:variant>
        <vt:i4>655381</vt:i4>
      </vt:variant>
      <vt:variant>
        <vt:i4>483</vt:i4>
      </vt:variant>
      <vt:variant>
        <vt:i4>0</vt:i4>
      </vt:variant>
      <vt:variant>
        <vt:i4>5</vt:i4>
      </vt:variant>
      <vt:variant>
        <vt:lpwstr>https://www.sps.nhs.uk/articles/which-medicines-should-be-considered-for-brand-name-prescribing-in-primary-care/</vt:lpwstr>
      </vt:variant>
      <vt:variant>
        <vt:lpwstr/>
      </vt:variant>
      <vt:variant>
        <vt:i4>4718685</vt:i4>
      </vt:variant>
      <vt:variant>
        <vt:i4>480</vt:i4>
      </vt:variant>
      <vt:variant>
        <vt:i4>0</vt:i4>
      </vt:variant>
      <vt:variant>
        <vt:i4>5</vt:i4>
      </vt:variant>
      <vt:variant>
        <vt:lpwstr>https://www.gov.uk/drug-safety-update/antiepileptic-drugs-new-advice-on-switching-between-different-manufacturers-products-for-a-particular-drug</vt:lpwstr>
      </vt:variant>
      <vt:variant>
        <vt:lpwstr/>
      </vt:variant>
      <vt:variant>
        <vt:i4>8061049</vt:i4>
      </vt:variant>
      <vt:variant>
        <vt:i4>477</vt:i4>
      </vt:variant>
      <vt:variant>
        <vt:i4>0</vt:i4>
      </vt:variant>
      <vt:variant>
        <vt:i4>5</vt:i4>
      </vt:variant>
      <vt:variant>
        <vt:lpwstr>https://www.hee.nhs.uk/our-work/medicines-optimisation/training-non-medical-prescribers</vt:lpwstr>
      </vt:variant>
      <vt:variant>
        <vt:lpwstr/>
      </vt:variant>
      <vt:variant>
        <vt:i4>6094940</vt:i4>
      </vt:variant>
      <vt:variant>
        <vt:i4>474</vt:i4>
      </vt:variant>
      <vt:variant>
        <vt:i4>0</vt:i4>
      </vt:variant>
      <vt:variant>
        <vt:i4>5</vt:i4>
      </vt:variant>
      <vt:variant>
        <vt:lpwstr>https://www.rpharms.com/resources/frameworks/designated-prescribing-practitioner-competency-framework</vt:lpwstr>
      </vt:variant>
      <vt:variant>
        <vt:lpwstr/>
      </vt:variant>
      <vt:variant>
        <vt:i4>5374023</vt:i4>
      </vt:variant>
      <vt:variant>
        <vt:i4>471</vt:i4>
      </vt:variant>
      <vt:variant>
        <vt:i4>0</vt:i4>
      </vt:variant>
      <vt:variant>
        <vt:i4>5</vt:i4>
      </vt:variant>
      <vt:variant>
        <vt:lpwstr>https://www.rpharms.com/resources/frameworks/prescribers-competency-framework</vt:lpwstr>
      </vt:variant>
      <vt:variant>
        <vt:lpwstr/>
      </vt:variant>
      <vt:variant>
        <vt:i4>3801138</vt:i4>
      </vt:variant>
      <vt:variant>
        <vt:i4>468</vt:i4>
      </vt:variant>
      <vt:variant>
        <vt:i4>0</vt:i4>
      </vt:variant>
      <vt:variant>
        <vt:i4>5</vt:i4>
      </vt:variant>
      <vt:variant>
        <vt:lpwstr>https://www.gmc-uk.org/ethical-guidance/ethical-guidance-for-doctors/prescribing-and-managing-medicines-and-devices</vt:lpwstr>
      </vt:variant>
      <vt:variant>
        <vt:lpwstr/>
      </vt:variant>
      <vt:variant>
        <vt:i4>6881339</vt:i4>
      </vt:variant>
      <vt:variant>
        <vt:i4>465</vt:i4>
      </vt:variant>
      <vt:variant>
        <vt:i4>0</vt:i4>
      </vt:variant>
      <vt:variant>
        <vt:i4>5</vt:i4>
      </vt:variant>
      <vt:variant>
        <vt:lpwstr>https://www.pharmacyregulation.org/standards-for-pharmacy-professionals</vt:lpwstr>
      </vt:variant>
      <vt:variant>
        <vt:lpwstr/>
      </vt:variant>
      <vt:variant>
        <vt:i4>2621536</vt:i4>
      </vt:variant>
      <vt:variant>
        <vt:i4>462</vt:i4>
      </vt:variant>
      <vt:variant>
        <vt:i4>0</vt:i4>
      </vt:variant>
      <vt:variant>
        <vt:i4>5</vt:i4>
      </vt:variant>
      <vt:variant>
        <vt:lpwstr>https://www.nmc.org.uk/standards/standards-for-post-registration/standards-for-prescribers/standards-of-proficiency-for-nurse-and-midwife-prescribers/</vt:lpwstr>
      </vt:variant>
      <vt:variant>
        <vt:lpwstr/>
      </vt:variant>
      <vt:variant>
        <vt:i4>1441872</vt:i4>
      </vt:variant>
      <vt:variant>
        <vt:i4>459</vt:i4>
      </vt:variant>
      <vt:variant>
        <vt:i4>0</vt:i4>
      </vt:variant>
      <vt:variant>
        <vt:i4>5</vt:i4>
      </vt:variant>
      <vt:variant>
        <vt:lpwstr>https://www.england.nhs.uk/gp/case-studies/the-physician-associate-will-see-you-now-new-role-to-assist-patients-in-primary-care/</vt:lpwstr>
      </vt:variant>
      <vt:variant>
        <vt:lpwstr/>
      </vt:variant>
      <vt:variant>
        <vt:i4>3211308</vt:i4>
      </vt:variant>
      <vt:variant>
        <vt:i4>456</vt:i4>
      </vt:variant>
      <vt:variant>
        <vt:i4>0</vt:i4>
      </vt:variant>
      <vt:variant>
        <vt:i4>5</vt:i4>
      </vt:variant>
      <vt:variant>
        <vt:lpwstr>https://www.england.nhs.uk/ahp/med-project/orthoptists/</vt:lpwstr>
      </vt:variant>
      <vt:variant>
        <vt:lpwstr/>
      </vt:variant>
      <vt:variant>
        <vt:i4>7405600</vt:i4>
      </vt:variant>
      <vt:variant>
        <vt:i4>453</vt:i4>
      </vt:variant>
      <vt:variant>
        <vt:i4>0</vt:i4>
      </vt:variant>
      <vt:variant>
        <vt:i4>5</vt:i4>
      </vt:variant>
      <vt:variant>
        <vt:lpwstr>https://www.england.nhs.uk/ahp/med-project/dietitians/</vt:lpwstr>
      </vt:variant>
      <vt:variant>
        <vt:lpwstr/>
      </vt:variant>
      <vt:variant>
        <vt:i4>7733284</vt:i4>
      </vt:variant>
      <vt:variant>
        <vt:i4>450</vt:i4>
      </vt:variant>
      <vt:variant>
        <vt:i4>0</vt:i4>
      </vt:variant>
      <vt:variant>
        <vt:i4>5</vt:i4>
      </vt:variant>
      <vt:variant>
        <vt:lpwstr>https://www.england.nhs.uk/ahp/med-project/paramedics/</vt:lpwstr>
      </vt:variant>
      <vt:variant>
        <vt:lpwstr/>
      </vt:variant>
      <vt:variant>
        <vt:i4>6029391</vt:i4>
      </vt:variant>
      <vt:variant>
        <vt:i4>447</vt:i4>
      </vt:variant>
      <vt:variant>
        <vt:i4>0</vt:i4>
      </vt:variant>
      <vt:variant>
        <vt:i4>5</vt:i4>
      </vt:variant>
      <vt:variant>
        <vt:lpwstr>https://www.england.nhs.uk/ahp/med-project/radiographers/</vt:lpwstr>
      </vt:variant>
      <vt:variant>
        <vt:lpwstr/>
      </vt:variant>
      <vt:variant>
        <vt:i4>6553641</vt:i4>
      </vt:variant>
      <vt:variant>
        <vt:i4>444</vt:i4>
      </vt:variant>
      <vt:variant>
        <vt:i4>0</vt:i4>
      </vt:variant>
      <vt:variant>
        <vt:i4>5</vt:i4>
      </vt:variant>
      <vt:variant>
        <vt:lpwstr>https://bnf.nice.org.uk/nurse-prescribers-formulary/index.html</vt:lpwstr>
      </vt:variant>
      <vt:variant>
        <vt:lpwstr/>
      </vt:variant>
      <vt:variant>
        <vt:i4>7405608</vt:i4>
      </vt:variant>
      <vt:variant>
        <vt:i4>441</vt:i4>
      </vt:variant>
      <vt:variant>
        <vt:i4>0</vt:i4>
      </vt:variant>
      <vt:variant>
        <vt:i4>5</vt:i4>
      </vt:variant>
      <vt:variant>
        <vt:lpwstr>https://www.gov.uk/search/all?keywords=non-medical+prescribing&amp;order=relevance</vt:lpwstr>
      </vt:variant>
      <vt:variant>
        <vt:lpwstr/>
      </vt:variant>
      <vt:variant>
        <vt:i4>458836</vt:i4>
      </vt:variant>
      <vt:variant>
        <vt:i4>438</vt:i4>
      </vt:variant>
      <vt:variant>
        <vt:i4>0</vt:i4>
      </vt:variant>
      <vt:variant>
        <vt:i4>5</vt:i4>
      </vt:variant>
      <vt:variant>
        <vt:lpwstr>https://bnf.nice.org.uk/guidance/non-medical-prescribing.html</vt:lpwstr>
      </vt:variant>
      <vt:variant>
        <vt:lpwstr/>
      </vt:variant>
      <vt:variant>
        <vt:i4>3211380</vt:i4>
      </vt:variant>
      <vt:variant>
        <vt:i4>435</vt:i4>
      </vt:variant>
      <vt:variant>
        <vt:i4>0</vt:i4>
      </vt:variant>
      <vt:variant>
        <vt:i4>5</vt:i4>
      </vt:variant>
      <vt:variant>
        <vt:lpwstr>https://www.england.nhs.uk/ahp/med-project/</vt:lpwstr>
      </vt:variant>
      <vt:variant>
        <vt:lpwstr/>
      </vt:variant>
      <vt:variant>
        <vt:i4>4456519</vt:i4>
      </vt:variant>
      <vt:variant>
        <vt:i4>432</vt:i4>
      </vt:variant>
      <vt:variant>
        <vt:i4>0</vt:i4>
      </vt:variant>
      <vt:variant>
        <vt:i4>5</vt:i4>
      </vt:variant>
      <vt:variant>
        <vt:lpwstr>https://www.rpharms.com/publications/the-mep</vt:lpwstr>
      </vt:variant>
      <vt:variant>
        <vt:lpwstr/>
      </vt:variant>
      <vt:variant>
        <vt:i4>2621552</vt:i4>
      </vt:variant>
      <vt:variant>
        <vt:i4>429</vt:i4>
      </vt:variant>
      <vt:variant>
        <vt:i4>0</vt:i4>
      </vt:variant>
      <vt:variant>
        <vt:i4>5</vt:i4>
      </vt:variant>
      <vt:variant>
        <vt:lpwstr>https://www.nhsbsa.nhs.uk/ccgs-area-teams-and-other-providers/organisation-and-prescriber-changes/ccgs</vt:lpwstr>
      </vt:variant>
      <vt:variant>
        <vt:lpwstr/>
      </vt:variant>
      <vt:variant>
        <vt:i4>2621552</vt:i4>
      </vt:variant>
      <vt:variant>
        <vt:i4>426</vt:i4>
      </vt:variant>
      <vt:variant>
        <vt:i4>0</vt:i4>
      </vt:variant>
      <vt:variant>
        <vt:i4>5</vt:i4>
      </vt:variant>
      <vt:variant>
        <vt:lpwstr>https://www.nhsbsa.nhs.uk/ccgs-area-teams-and-other-providers/organisation-and-prescriber-changes/ccgs</vt:lpwstr>
      </vt:variant>
      <vt:variant>
        <vt:lpwstr/>
      </vt:variant>
      <vt:variant>
        <vt:i4>2621552</vt:i4>
      </vt:variant>
      <vt:variant>
        <vt:i4>423</vt:i4>
      </vt:variant>
      <vt:variant>
        <vt:i4>0</vt:i4>
      </vt:variant>
      <vt:variant>
        <vt:i4>5</vt:i4>
      </vt:variant>
      <vt:variant>
        <vt:lpwstr>https://www.nhsbsa.nhs.uk/ccgs-area-teams-and-other-providers/organisation-and-prescriber-changes/ccgs</vt:lpwstr>
      </vt:variant>
      <vt:variant>
        <vt:lpwstr/>
      </vt:variant>
      <vt:variant>
        <vt:i4>7602194</vt:i4>
      </vt:variant>
      <vt:variant>
        <vt:i4>420</vt:i4>
      </vt:variant>
      <vt:variant>
        <vt:i4>0</vt:i4>
      </vt:variant>
      <vt:variant>
        <vt:i4>5</vt:i4>
      </vt:variant>
      <vt:variant>
        <vt:lpwstr>mailto:THCCG.medicinesoptimisation@nhs.net</vt:lpwstr>
      </vt:variant>
      <vt:variant>
        <vt:lpwstr/>
      </vt:variant>
      <vt:variant>
        <vt:i4>2162713</vt:i4>
      </vt:variant>
      <vt:variant>
        <vt:i4>417</vt:i4>
      </vt:variant>
      <vt:variant>
        <vt:i4>0</vt:i4>
      </vt:variant>
      <vt:variant>
        <vt:i4>5</vt:i4>
      </vt:variant>
      <vt:variant>
        <vt:lpwstr>mailto:%20wfccg.medicinesoptimisation@nhs.net</vt:lpwstr>
      </vt:variant>
      <vt:variant>
        <vt:lpwstr/>
      </vt:variant>
      <vt:variant>
        <vt:i4>1179688</vt:i4>
      </vt:variant>
      <vt:variant>
        <vt:i4>414</vt:i4>
      </vt:variant>
      <vt:variant>
        <vt:i4>0</vt:i4>
      </vt:variant>
      <vt:variant>
        <vt:i4>5</vt:i4>
      </vt:variant>
      <vt:variant>
        <vt:lpwstr>mailto:%20Newccg.medicinesmanagement@nhs.net</vt:lpwstr>
      </vt:variant>
      <vt:variant>
        <vt:lpwstr/>
      </vt:variant>
      <vt:variant>
        <vt:i4>5111822</vt:i4>
      </vt:variant>
      <vt:variant>
        <vt:i4>411</vt:i4>
      </vt:variant>
      <vt:variant>
        <vt:i4>0</vt:i4>
      </vt:variant>
      <vt:variant>
        <vt:i4>5</vt:i4>
      </vt:variant>
      <vt:variant>
        <vt:lpwstr>https://bnf.nice.org.uk/guidance/guidance-on-prescribing.html</vt:lpwstr>
      </vt:variant>
      <vt:variant>
        <vt:lpwstr/>
      </vt:variant>
      <vt:variant>
        <vt:i4>3801138</vt:i4>
      </vt:variant>
      <vt:variant>
        <vt:i4>408</vt:i4>
      </vt:variant>
      <vt:variant>
        <vt:i4>0</vt:i4>
      </vt:variant>
      <vt:variant>
        <vt:i4>5</vt:i4>
      </vt:variant>
      <vt:variant>
        <vt:lpwstr>https://www.gmc-uk.org/ethical-guidance/ethical-guidance-for-doctors/prescribing-and-managing-medicines-and-devices</vt:lpwstr>
      </vt:variant>
      <vt:variant>
        <vt:lpwstr/>
      </vt:variant>
      <vt:variant>
        <vt:i4>5374023</vt:i4>
      </vt:variant>
      <vt:variant>
        <vt:i4>405</vt:i4>
      </vt:variant>
      <vt:variant>
        <vt:i4>0</vt:i4>
      </vt:variant>
      <vt:variant>
        <vt:i4>5</vt:i4>
      </vt:variant>
      <vt:variant>
        <vt:lpwstr>https://www.rpharms.com/resources/frameworks/prescribers-competency-framework</vt:lpwstr>
      </vt:variant>
      <vt:variant>
        <vt:lpwstr/>
      </vt:variant>
      <vt:variant>
        <vt:i4>7602194</vt:i4>
      </vt:variant>
      <vt:variant>
        <vt:i4>402</vt:i4>
      </vt:variant>
      <vt:variant>
        <vt:i4>0</vt:i4>
      </vt:variant>
      <vt:variant>
        <vt:i4>5</vt:i4>
      </vt:variant>
      <vt:variant>
        <vt:lpwstr>mailto:THCCG.medicinesoptimisation@nhs.net</vt:lpwstr>
      </vt:variant>
      <vt:variant>
        <vt:lpwstr/>
      </vt:variant>
      <vt:variant>
        <vt:i4>2162713</vt:i4>
      </vt:variant>
      <vt:variant>
        <vt:i4>399</vt:i4>
      </vt:variant>
      <vt:variant>
        <vt:i4>0</vt:i4>
      </vt:variant>
      <vt:variant>
        <vt:i4>5</vt:i4>
      </vt:variant>
      <vt:variant>
        <vt:lpwstr>mailto:%20wfccg.medicinesoptimisation@nhs.net</vt:lpwstr>
      </vt:variant>
      <vt:variant>
        <vt:lpwstr/>
      </vt:variant>
      <vt:variant>
        <vt:i4>1179688</vt:i4>
      </vt:variant>
      <vt:variant>
        <vt:i4>396</vt:i4>
      </vt:variant>
      <vt:variant>
        <vt:i4>0</vt:i4>
      </vt:variant>
      <vt:variant>
        <vt:i4>5</vt:i4>
      </vt:variant>
      <vt:variant>
        <vt:lpwstr>mailto:%20Newccg.medicinesmanagement@nhs.net</vt:lpwstr>
      </vt:variant>
      <vt:variant>
        <vt:lpwstr/>
      </vt:variant>
      <vt:variant>
        <vt:i4>7602194</vt:i4>
      </vt:variant>
      <vt:variant>
        <vt:i4>393</vt:i4>
      </vt:variant>
      <vt:variant>
        <vt:i4>0</vt:i4>
      </vt:variant>
      <vt:variant>
        <vt:i4>5</vt:i4>
      </vt:variant>
      <vt:variant>
        <vt:lpwstr>mailto:thccg.medicinesoptimisation@nhs.net</vt:lpwstr>
      </vt:variant>
      <vt:variant>
        <vt:lpwstr/>
      </vt:variant>
      <vt:variant>
        <vt:i4>2162713</vt:i4>
      </vt:variant>
      <vt:variant>
        <vt:i4>390</vt:i4>
      </vt:variant>
      <vt:variant>
        <vt:i4>0</vt:i4>
      </vt:variant>
      <vt:variant>
        <vt:i4>5</vt:i4>
      </vt:variant>
      <vt:variant>
        <vt:lpwstr>mailto:%20wfccg.medicinesoptimisation@nhs.net</vt:lpwstr>
      </vt:variant>
      <vt:variant>
        <vt:lpwstr/>
      </vt:variant>
      <vt:variant>
        <vt:i4>1179688</vt:i4>
      </vt:variant>
      <vt:variant>
        <vt:i4>387</vt:i4>
      </vt:variant>
      <vt:variant>
        <vt:i4>0</vt:i4>
      </vt:variant>
      <vt:variant>
        <vt:i4>5</vt:i4>
      </vt:variant>
      <vt:variant>
        <vt:lpwstr>mailto:%20Newccg.medicinesmanagement@nhs.net</vt:lpwstr>
      </vt:variant>
      <vt:variant>
        <vt:lpwstr/>
      </vt:variant>
      <vt:variant>
        <vt:i4>3932283</vt:i4>
      </vt:variant>
      <vt:variant>
        <vt:i4>384</vt:i4>
      </vt:variant>
      <vt:variant>
        <vt:i4>0</vt:i4>
      </vt:variant>
      <vt:variant>
        <vt:i4>5</vt:i4>
      </vt:variant>
      <vt:variant>
        <vt:lpwstr>https://www.england.nhs.uk/publication/managing-conflicts-of-interest-revised-statutory-guidance-for-ccgs-2017/</vt:lpwstr>
      </vt:variant>
      <vt:variant>
        <vt:lpwstr/>
      </vt:variant>
      <vt:variant>
        <vt:i4>7602232</vt:i4>
      </vt:variant>
      <vt:variant>
        <vt:i4>381</vt:i4>
      </vt:variant>
      <vt:variant>
        <vt:i4>0</vt:i4>
      </vt:variant>
      <vt:variant>
        <vt:i4>5</vt:i4>
      </vt:variant>
      <vt:variant>
        <vt:lpwstr>https://cfa.nhs.uk/fraud-prevention/fraud-guidance</vt:lpwstr>
      </vt:variant>
      <vt:variant>
        <vt:lpwstr>controlPrescriptionForms</vt:lpwstr>
      </vt:variant>
      <vt:variant>
        <vt:i4>7405672</vt:i4>
      </vt:variant>
      <vt:variant>
        <vt:i4>378</vt:i4>
      </vt:variant>
      <vt:variant>
        <vt:i4>0</vt:i4>
      </vt:variant>
      <vt:variant>
        <vt:i4>5</vt:i4>
      </vt:variant>
      <vt:variant>
        <vt:lpwstr>https://yellowcard.mhra.gov.uk/</vt:lpwstr>
      </vt:variant>
      <vt:variant>
        <vt:lpwstr/>
      </vt:variant>
      <vt:variant>
        <vt:i4>983120</vt:i4>
      </vt:variant>
      <vt:variant>
        <vt:i4>375</vt:i4>
      </vt:variant>
      <vt:variant>
        <vt:i4>0</vt:i4>
      </vt:variant>
      <vt:variant>
        <vt:i4>5</vt:i4>
      </vt:variant>
      <vt:variant>
        <vt:lpwstr>https://bnf.nice.org.uk/</vt:lpwstr>
      </vt:variant>
      <vt:variant>
        <vt:lpwstr/>
      </vt:variant>
      <vt:variant>
        <vt:i4>4521996</vt:i4>
      </vt:variant>
      <vt:variant>
        <vt:i4>372</vt:i4>
      </vt:variant>
      <vt:variant>
        <vt:i4>0</vt:i4>
      </vt:variant>
      <vt:variant>
        <vt:i4>5</vt:i4>
      </vt:variant>
      <vt:variant>
        <vt:lpwstr>https://www.gmc-uk.org/ethical-guidance/ethical-guidance-for-doctors/prescribing-and-managing-medicines-and-devices/prescribing-unlicensed-medicines</vt:lpwstr>
      </vt:variant>
      <vt:variant>
        <vt:lpwstr/>
      </vt:variant>
      <vt:variant>
        <vt:i4>5439573</vt:i4>
      </vt:variant>
      <vt:variant>
        <vt:i4>369</vt:i4>
      </vt:variant>
      <vt:variant>
        <vt:i4>0</vt:i4>
      </vt:variant>
      <vt:variant>
        <vt:i4>5</vt:i4>
      </vt:variant>
      <vt:variant>
        <vt:lpwstr>https://www.rpharms.com/Portals/0/RPS document library/Open access/Support/toolkit/professional-standards---prescribing-specials.pdf</vt:lpwstr>
      </vt:variant>
      <vt:variant>
        <vt:lpwstr/>
      </vt:variant>
      <vt:variant>
        <vt:i4>4653078</vt:i4>
      </vt:variant>
      <vt:variant>
        <vt:i4>366</vt:i4>
      </vt:variant>
      <vt:variant>
        <vt:i4>0</vt:i4>
      </vt:variant>
      <vt:variant>
        <vt:i4>5</vt:i4>
      </vt:variant>
      <vt:variant>
        <vt:lpwstr>https://www.sps.nhs.uk/articles/what-are-the-therapeutic-options-for-patients-unable-to-take-solid-oral-dosage-forms/</vt:lpwstr>
      </vt:variant>
      <vt:variant>
        <vt:lpwstr/>
      </vt:variant>
      <vt:variant>
        <vt:i4>5374032</vt:i4>
      </vt:variant>
      <vt:variant>
        <vt:i4>363</vt:i4>
      </vt:variant>
      <vt:variant>
        <vt:i4>0</vt:i4>
      </vt:variant>
      <vt:variant>
        <vt:i4>5</vt:i4>
      </vt:variant>
      <vt:variant>
        <vt:lpwstr>https://www.gov.uk/government/publications/supply-unlicensed-medicinal-products-specials</vt:lpwstr>
      </vt:variant>
      <vt:variant>
        <vt:lpwstr/>
      </vt:variant>
      <vt:variant>
        <vt:i4>4718685</vt:i4>
      </vt:variant>
      <vt:variant>
        <vt:i4>360</vt:i4>
      </vt:variant>
      <vt:variant>
        <vt:i4>0</vt:i4>
      </vt:variant>
      <vt:variant>
        <vt:i4>5</vt:i4>
      </vt:variant>
      <vt:variant>
        <vt:lpwstr>https://www.gov.uk/drug-safety-update/antiepileptic-drugs-new-advice-on-switching-between-different-manufacturers-products-for-a-particular-drug</vt:lpwstr>
      </vt:variant>
      <vt:variant>
        <vt:lpwstr/>
      </vt:variant>
      <vt:variant>
        <vt:i4>655381</vt:i4>
      </vt:variant>
      <vt:variant>
        <vt:i4>357</vt:i4>
      </vt:variant>
      <vt:variant>
        <vt:i4>0</vt:i4>
      </vt:variant>
      <vt:variant>
        <vt:i4>5</vt:i4>
      </vt:variant>
      <vt:variant>
        <vt:lpwstr>https://www.sps.nhs.uk/articles/which-medicines-should-be-considered-for-brand-name-prescribing-in-primary-care/</vt:lpwstr>
      </vt:variant>
      <vt:variant>
        <vt:lpwstr/>
      </vt:variant>
      <vt:variant>
        <vt:i4>4718685</vt:i4>
      </vt:variant>
      <vt:variant>
        <vt:i4>354</vt:i4>
      </vt:variant>
      <vt:variant>
        <vt:i4>0</vt:i4>
      </vt:variant>
      <vt:variant>
        <vt:i4>5</vt:i4>
      </vt:variant>
      <vt:variant>
        <vt:lpwstr>https://www.gov.uk/drug-safety-update/antiepileptic-drugs-new-advice-on-switching-between-different-manufacturers-products-for-a-particular-drug</vt:lpwstr>
      </vt:variant>
      <vt:variant>
        <vt:lpwstr/>
      </vt:variant>
      <vt:variant>
        <vt:i4>8061049</vt:i4>
      </vt:variant>
      <vt:variant>
        <vt:i4>351</vt:i4>
      </vt:variant>
      <vt:variant>
        <vt:i4>0</vt:i4>
      </vt:variant>
      <vt:variant>
        <vt:i4>5</vt:i4>
      </vt:variant>
      <vt:variant>
        <vt:lpwstr>https://www.hee.nhs.uk/our-work/medicines-optimisation/training-non-medical-prescribers</vt:lpwstr>
      </vt:variant>
      <vt:variant>
        <vt:lpwstr/>
      </vt:variant>
      <vt:variant>
        <vt:i4>3539043</vt:i4>
      </vt:variant>
      <vt:variant>
        <vt:i4>348</vt:i4>
      </vt:variant>
      <vt:variant>
        <vt:i4>0</vt:i4>
      </vt:variant>
      <vt:variant>
        <vt:i4>5</vt:i4>
      </vt:variant>
      <vt:variant>
        <vt:lpwstr>http://nww.towerhamletsccg.nhs.uk/organisation/performance/Pages/Safeguarding.aspx</vt:lpwstr>
      </vt:variant>
      <vt:variant>
        <vt:lpwstr/>
      </vt:variant>
      <vt:variant>
        <vt:i4>5505030</vt:i4>
      </vt:variant>
      <vt:variant>
        <vt:i4>345</vt:i4>
      </vt:variant>
      <vt:variant>
        <vt:i4>0</vt:i4>
      </vt:variant>
      <vt:variant>
        <vt:i4>5</vt:i4>
      </vt:variant>
      <vt:variant>
        <vt:lpwstr>http://nww.newhamccg.nhs.uk/clinical/Safeguarding/Pages/default.aspx</vt:lpwstr>
      </vt:variant>
      <vt:variant>
        <vt:lpwstr/>
      </vt:variant>
      <vt:variant>
        <vt:i4>1441858</vt:i4>
      </vt:variant>
      <vt:variant>
        <vt:i4>342</vt:i4>
      </vt:variant>
      <vt:variant>
        <vt:i4>0</vt:i4>
      </vt:variant>
      <vt:variant>
        <vt:i4>5</vt:i4>
      </vt:variant>
      <vt:variant>
        <vt:lpwstr>http://www.walthamforestccg.nhs.uk/about/publications.htm</vt:lpwstr>
      </vt:variant>
      <vt:variant>
        <vt:lpwstr/>
      </vt:variant>
      <vt:variant>
        <vt:i4>6094940</vt:i4>
      </vt:variant>
      <vt:variant>
        <vt:i4>339</vt:i4>
      </vt:variant>
      <vt:variant>
        <vt:i4>0</vt:i4>
      </vt:variant>
      <vt:variant>
        <vt:i4>5</vt:i4>
      </vt:variant>
      <vt:variant>
        <vt:lpwstr>https://www.rpharms.com/resources/frameworks/designated-prescribing-practitioner-competency-framework</vt:lpwstr>
      </vt:variant>
      <vt:variant>
        <vt:lpwstr/>
      </vt:variant>
      <vt:variant>
        <vt:i4>2883693</vt:i4>
      </vt:variant>
      <vt:variant>
        <vt:i4>336</vt:i4>
      </vt:variant>
      <vt:variant>
        <vt:i4>0</vt:i4>
      </vt:variant>
      <vt:variant>
        <vt:i4>5</vt:i4>
      </vt:variant>
      <vt:variant>
        <vt:lpwstr>https://www.rpharms.com/Portals/0/RPS document library/Open access/Professional standards/DPP Framework/DPP competency framework Dec 2019.pdf?ver=2019-12-16-110751-883</vt:lpwstr>
      </vt:variant>
      <vt:variant>
        <vt:lpwstr/>
      </vt:variant>
      <vt:variant>
        <vt:i4>5374023</vt:i4>
      </vt:variant>
      <vt:variant>
        <vt:i4>333</vt:i4>
      </vt:variant>
      <vt:variant>
        <vt:i4>0</vt:i4>
      </vt:variant>
      <vt:variant>
        <vt:i4>5</vt:i4>
      </vt:variant>
      <vt:variant>
        <vt:lpwstr>https://www.rpharms.com/resources/frameworks/prescribers-competency-framework</vt:lpwstr>
      </vt:variant>
      <vt:variant>
        <vt:lpwstr/>
      </vt:variant>
      <vt:variant>
        <vt:i4>3801138</vt:i4>
      </vt:variant>
      <vt:variant>
        <vt:i4>330</vt:i4>
      </vt:variant>
      <vt:variant>
        <vt:i4>0</vt:i4>
      </vt:variant>
      <vt:variant>
        <vt:i4>5</vt:i4>
      </vt:variant>
      <vt:variant>
        <vt:lpwstr>https://www.gmc-uk.org/ethical-guidance/ethical-guidance-for-doctors/prescribing-and-managing-medicines-and-devices</vt:lpwstr>
      </vt:variant>
      <vt:variant>
        <vt:lpwstr/>
      </vt:variant>
      <vt:variant>
        <vt:i4>6881339</vt:i4>
      </vt:variant>
      <vt:variant>
        <vt:i4>327</vt:i4>
      </vt:variant>
      <vt:variant>
        <vt:i4>0</vt:i4>
      </vt:variant>
      <vt:variant>
        <vt:i4>5</vt:i4>
      </vt:variant>
      <vt:variant>
        <vt:lpwstr>https://www.pharmacyregulation.org/standards-for-pharmacy-professionals</vt:lpwstr>
      </vt:variant>
      <vt:variant>
        <vt:lpwstr/>
      </vt:variant>
      <vt:variant>
        <vt:i4>2621536</vt:i4>
      </vt:variant>
      <vt:variant>
        <vt:i4>324</vt:i4>
      </vt:variant>
      <vt:variant>
        <vt:i4>0</vt:i4>
      </vt:variant>
      <vt:variant>
        <vt:i4>5</vt:i4>
      </vt:variant>
      <vt:variant>
        <vt:lpwstr>https://www.nmc.org.uk/standards/standards-for-post-registration/standards-for-prescribers/standards-of-proficiency-for-nurse-and-midwife-prescribers/</vt:lpwstr>
      </vt:variant>
      <vt:variant>
        <vt:lpwstr/>
      </vt:variant>
      <vt:variant>
        <vt:i4>1441872</vt:i4>
      </vt:variant>
      <vt:variant>
        <vt:i4>321</vt:i4>
      </vt:variant>
      <vt:variant>
        <vt:i4>0</vt:i4>
      </vt:variant>
      <vt:variant>
        <vt:i4>5</vt:i4>
      </vt:variant>
      <vt:variant>
        <vt:lpwstr>https://www.england.nhs.uk/gp/case-studies/the-physician-associate-will-see-you-now-new-role-to-assist-patients-in-primary-care/</vt:lpwstr>
      </vt:variant>
      <vt:variant>
        <vt:lpwstr/>
      </vt:variant>
      <vt:variant>
        <vt:i4>3211308</vt:i4>
      </vt:variant>
      <vt:variant>
        <vt:i4>318</vt:i4>
      </vt:variant>
      <vt:variant>
        <vt:i4>0</vt:i4>
      </vt:variant>
      <vt:variant>
        <vt:i4>5</vt:i4>
      </vt:variant>
      <vt:variant>
        <vt:lpwstr>https://www.england.nhs.uk/ahp/med-project/orthoptists/</vt:lpwstr>
      </vt:variant>
      <vt:variant>
        <vt:lpwstr/>
      </vt:variant>
      <vt:variant>
        <vt:i4>7405600</vt:i4>
      </vt:variant>
      <vt:variant>
        <vt:i4>315</vt:i4>
      </vt:variant>
      <vt:variant>
        <vt:i4>0</vt:i4>
      </vt:variant>
      <vt:variant>
        <vt:i4>5</vt:i4>
      </vt:variant>
      <vt:variant>
        <vt:lpwstr>https://www.england.nhs.uk/ahp/med-project/dietitians/</vt:lpwstr>
      </vt:variant>
      <vt:variant>
        <vt:lpwstr/>
      </vt:variant>
      <vt:variant>
        <vt:i4>7733284</vt:i4>
      </vt:variant>
      <vt:variant>
        <vt:i4>312</vt:i4>
      </vt:variant>
      <vt:variant>
        <vt:i4>0</vt:i4>
      </vt:variant>
      <vt:variant>
        <vt:i4>5</vt:i4>
      </vt:variant>
      <vt:variant>
        <vt:lpwstr>https://www.england.nhs.uk/ahp/med-project/paramedics/</vt:lpwstr>
      </vt:variant>
      <vt:variant>
        <vt:lpwstr/>
      </vt:variant>
      <vt:variant>
        <vt:i4>458836</vt:i4>
      </vt:variant>
      <vt:variant>
        <vt:i4>309</vt:i4>
      </vt:variant>
      <vt:variant>
        <vt:i4>0</vt:i4>
      </vt:variant>
      <vt:variant>
        <vt:i4>5</vt:i4>
      </vt:variant>
      <vt:variant>
        <vt:lpwstr>https://bnf.nice.org.uk/guidance/non-medical-prescribing.html</vt:lpwstr>
      </vt:variant>
      <vt:variant>
        <vt:lpwstr/>
      </vt:variant>
      <vt:variant>
        <vt:i4>6029391</vt:i4>
      </vt:variant>
      <vt:variant>
        <vt:i4>303</vt:i4>
      </vt:variant>
      <vt:variant>
        <vt:i4>0</vt:i4>
      </vt:variant>
      <vt:variant>
        <vt:i4>5</vt:i4>
      </vt:variant>
      <vt:variant>
        <vt:lpwstr>https://www.england.nhs.uk/ahp/med-project/radiographers/</vt:lpwstr>
      </vt:variant>
      <vt:variant>
        <vt:lpwstr/>
      </vt:variant>
      <vt:variant>
        <vt:i4>458836</vt:i4>
      </vt:variant>
      <vt:variant>
        <vt:i4>300</vt:i4>
      </vt:variant>
      <vt:variant>
        <vt:i4>0</vt:i4>
      </vt:variant>
      <vt:variant>
        <vt:i4>5</vt:i4>
      </vt:variant>
      <vt:variant>
        <vt:lpwstr>https://bnf.nice.org.uk/guidance/non-medical-prescribing.html</vt:lpwstr>
      </vt:variant>
      <vt:variant>
        <vt:lpwstr/>
      </vt:variant>
      <vt:variant>
        <vt:i4>6553641</vt:i4>
      </vt:variant>
      <vt:variant>
        <vt:i4>297</vt:i4>
      </vt:variant>
      <vt:variant>
        <vt:i4>0</vt:i4>
      </vt:variant>
      <vt:variant>
        <vt:i4>5</vt:i4>
      </vt:variant>
      <vt:variant>
        <vt:lpwstr>https://bnf.nice.org.uk/nurse-prescribers-formulary/index.html</vt:lpwstr>
      </vt:variant>
      <vt:variant>
        <vt:lpwstr/>
      </vt:variant>
      <vt:variant>
        <vt:i4>7405608</vt:i4>
      </vt:variant>
      <vt:variant>
        <vt:i4>294</vt:i4>
      </vt:variant>
      <vt:variant>
        <vt:i4>0</vt:i4>
      </vt:variant>
      <vt:variant>
        <vt:i4>5</vt:i4>
      </vt:variant>
      <vt:variant>
        <vt:lpwstr>https://www.gov.uk/search/all?keywords=non-medical+prescribing&amp;order=relevance</vt:lpwstr>
      </vt:variant>
      <vt:variant>
        <vt:lpwstr/>
      </vt:variant>
      <vt:variant>
        <vt:i4>458836</vt:i4>
      </vt:variant>
      <vt:variant>
        <vt:i4>291</vt:i4>
      </vt:variant>
      <vt:variant>
        <vt:i4>0</vt:i4>
      </vt:variant>
      <vt:variant>
        <vt:i4>5</vt:i4>
      </vt:variant>
      <vt:variant>
        <vt:lpwstr>https://bnf.nice.org.uk/guidance/non-medical-prescribing.html</vt:lpwstr>
      </vt:variant>
      <vt:variant>
        <vt:lpwstr/>
      </vt:variant>
      <vt:variant>
        <vt:i4>3211380</vt:i4>
      </vt:variant>
      <vt:variant>
        <vt:i4>288</vt:i4>
      </vt:variant>
      <vt:variant>
        <vt:i4>0</vt:i4>
      </vt:variant>
      <vt:variant>
        <vt:i4>5</vt:i4>
      </vt:variant>
      <vt:variant>
        <vt:lpwstr>https://www.england.nhs.uk/ahp/med-project/</vt:lpwstr>
      </vt:variant>
      <vt:variant>
        <vt:lpwstr/>
      </vt:variant>
      <vt:variant>
        <vt:i4>393306</vt:i4>
      </vt:variant>
      <vt:variant>
        <vt:i4>285</vt:i4>
      </vt:variant>
      <vt:variant>
        <vt:i4>0</vt:i4>
      </vt:variant>
      <vt:variant>
        <vt:i4>5</vt:i4>
      </vt:variant>
      <vt:variant>
        <vt:lpwstr>https://gp.walthamforestccg.nhs.uk/management/medicines/</vt:lpwstr>
      </vt:variant>
      <vt:variant>
        <vt:lpwstr/>
      </vt:variant>
      <vt:variant>
        <vt:i4>3801210</vt:i4>
      </vt:variant>
      <vt:variant>
        <vt:i4>282</vt:i4>
      </vt:variant>
      <vt:variant>
        <vt:i4>0</vt:i4>
      </vt:variant>
      <vt:variant>
        <vt:i4>5</vt:i4>
      </vt:variant>
      <vt:variant>
        <vt:lpwstr>http://thccgintranet/Prescribing/Pages/default.aspx</vt:lpwstr>
      </vt:variant>
      <vt:variant>
        <vt:lpwstr/>
      </vt:variant>
      <vt:variant>
        <vt:i4>7405611</vt:i4>
      </vt:variant>
      <vt:variant>
        <vt:i4>279</vt:i4>
      </vt:variant>
      <vt:variant>
        <vt:i4>0</vt:i4>
      </vt:variant>
      <vt:variant>
        <vt:i4>5</vt:i4>
      </vt:variant>
      <vt:variant>
        <vt:lpwstr>http://nww.newhamccg.nhs.uk/clinical/medicinesmanagement/Pages/default.aspx</vt:lpwstr>
      </vt:variant>
      <vt:variant>
        <vt:lpwstr/>
      </vt:variant>
      <vt:variant>
        <vt:i4>1638449</vt:i4>
      </vt:variant>
      <vt:variant>
        <vt:i4>272</vt:i4>
      </vt:variant>
      <vt:variant>
        <vt:i4>0</vt:i4>
      </vt:variant>
      <vt:variant>
        <vt:i4>5</vt:i4>
      </vt:variant>
      <vt:variant>
        <vt:lpwstr/>
      </vt:variant>
      <vt:variant>
        <vt:lpwstr>_Toc44075805</vt:lpwstr>
      </vt:variant>
      <vt:variant>
        <vt:i4>1572913</vt:i4>
      </vt:variant>
      <vt:variant>
        <vt:i4>266</vt:i4>
      </vt:variant>
      <vt:variant>
        <vt:i4>0</vt:i4>
      </vt:variant>
      <vt:variant>
        <vt:i4>5</vt:i4>
      </vt:variant>
      <vt:variant>
        <vt:lpwstr/>
      </vt:variant>
      <vt:variant>
        <vt:lpwstr>_Toc44075804</vt:lpwstr>
      </vt:variant>
      <vt:variant>
        <vt:i4>2031665</vt:i4>
      </vt:variant>
      <vt:variant>
        <vt:i4>260</vt:i4>
      </vt:variant>
      <vt:variant>
        <vt:i4>0</vt:i4>
      </vt:variant>
      <vt:variant>
        <vt:i4>5</vt:i4>
      </vt:variant>
      <vt:variant>
        <vt:lpwstr/>
      </vt:variant>
      <vt:variant>
        <vt:lpwstr>_Toc44075803</vt:lpwstr>
      </vt:variant>
      <vt:variant>
        <vt:i4>1966129</vt:i4>
      </vt:variant>
      <vt:variant>
        <vt:i4>254</vt:i4>
      </vt:variant>
      <vt:variant>
        <vt:i4>0</vt:i4>
      </vt:variant>
      <vt:variant>
        <vt:i4>5</vt:i4>
      </vt:variant>
      <vt:variant>
        <vt:lpwstr/>
      </vt:variant>
      <vt:variant>
        <vt:lpwstr>_Toc44075802</vt:lpwstr>
      </vt:variant>
      <vt:variant>
        <vt:i4>1900593</vt:i4>
      </vt:variant>
      <vt:variant>
        <vt:i4>248</vt:i4>
      </vt:variant>
      <vt:variant>
        <vt:i4>0</vt:i4>
      </vt:variant>
      <vt:variant>
        <vt:i4>5</vt:i4>
      </vt:variant>
      <vt:variant>
        <vt:lpwstr/>
      </vt:variant>
      <vt:variant>
        <vt:lpwstr>_Toc44075801</vt:lpwstr>
      </vt:variant>
      <vt:variant>
        <vt:i4>1835057</vt:i4>
      </vt:variant>
      <vt:variant>
        <vt:i4>242</vt:i4>
      </vt:variant>
      <vt:variant>
        <vt:i4>0</vt:i4>
      </vt:variant>
      <vt:variant>
        <vt:i4>5</vt:i4>
      </vt:variant>
      <vt:variant>
        <vt:lpwstr/>
      </vt:variant>
      <vt:variant>
        <vt:lpwstr>_Toc44075800</vt:lpwstr>
      </vt:variant>
      <vt:variant>
        <vt:i4>1703992</vt:i4>
      </vt:variant>
      <vt:variant>
        <vt:i4>236</vt:i4>
      </vt:variant>
      <vt:variant>
        <vt:i4>0</vt:i4>
      </vt:variant>
      <vt:variant>
        <vt:i4>5</vt:i4>
      </vt:variant>
      <vt:variant>
        <vt:lpwstr/>
      </vt:variant>
      <vt:variant>
        <vt:lpwstr>_Toc44075799</vt:lpwstr>
      </vt:variant>
      <vt:variant>
        <vt:i4>1769528</vt:i4>
      </vt:variant>
      <vt:variant>
        <vt:i4>230</vt:i4>
      </vt:variant>
      <vt:variant>
        <vt:i4>0</vt:i4>
      </vt:variant>
      <vt:variant>
        <vt:i4>5</vt:i4>
      </vt:variant>
      <vt:variant>
        <vt:lpwstr/>
      </vt:variant>
      <vt:variant>
        <vt:lpwstr>_Toc44075798</vt:lpwstr>
      </vt:variant>
      <vt:variant>
        <vt:i4>1310776</vt:i4>
      </vt:variant>
      <vt:variant>
        <vt:i4>224</vt:i4>
      </vt:variant>
      <vt:variant>
        <vt:i4>0</vt:i4>
      </vt:variant>
      <vt:variant>
        <vt:i4>5</vt:i4>
      </vt:variant>
      <vt:variant>
        <vt:lpwstr/>
      </vt:variant>
      <vt:variant>
        <vt:lpwstr>_Toc44075797</vt:lpwstr>
      </vt:variant>
      <vt:variant>
        <vt:i4>1376312</vt:i4>
      </vt:variant>
      <vt:variant>
        <vt:i4>218</vt:i4>
      </vt:variant>
      <vt:variant>
        <vt:i4>0</vt:i4>
      </vt:variant>
      <vt:variant>
        <vt:i4>5</vt:i4>
      </vt:variant>
      <vt:variant>
        <vt:lpwstr/>
      </vt:variant>
      <vt:variant>
        <vt:lpwstr>_Toc44075796</vt:lpwstr>
      </vt:variant>
      <vt:variant>
        <vt:i4>1441848</vt:i4>
      </vt:variant>
      <vt:variant>
        <vt:i4>212</vt:i4>
      </vt:variant>
      <vt:variant>
        <vt:i4>0</vt:i4>
      </vt:variant>
      <vt:variant>
        <vt:i4>5</vt:i4>
      </vt:variant>
      <vt:variant>
        <vt:lpwstr/>
      </vt:variant>
      <vt:variant>
        <vt:lpwstr>_Toc44075795</vt:lpwstr>
      </vt:variant>
      <vt:variant>
        <vt:i4>1507384</vt:i4>
      </vt:variant>
      <vt:variant>
        <vt:i4>206</vt:i4>
      </vt:variant>
      <vt:variant>
        <vt:i4>0</vt:i4>
      </vt:variant>
      <vt:variant>
        <vt:i4>5</vt:i4>
      </vt:variant>
      <vt:variant>
        <vt:lpwstr/>
      </vt:variant>
      <vt:variant>
        <vt:lpwstr>_Toc44075794</vt:lpwstr>
      </vt:variant>
      <vt:variant>
        <vt:i4>1048632</vt:i4>
      </vt:variant>
      <vt:variant>
        <vt:i4>200</vt:i4>
      </vt:variant>
      <vt:variant>
        <vt:i4>0</vt:i4>
      </vt:variant>
      <vt:variant>
        <vt:i4>5</vt:i4>
      </vt:variant>
      <vt:variant>
        <vt:lpwstr/>
      </vt:variant>
      <vt:variant>
        <vt:lpwstr>_Toc44075793</vt:lpwstr>
      </vt:variant>
      <vt:variant>
        <vt:i4>1114168</vt:i4>
      </vt:variant>
      <vt:variant>
        <vt:i4>194</vt:i4>
      </vt:variant>
      <vt:variant>
        <vt:i4>0</vt:i4>
      </vt:variant>
      <vt:variant>
        <vt:i4>5</vt:i4>
      </vt:variant>
      <vt:variant>
        <vt:lpwstr/>
      </vt:variant>
      <vt:variant>
        <vt:lpwstr>_Toc44075792</vt:lpwstr>
      </vt:variant>
      <vt:variant>
        <vt:i4>1179704</vt:i4>
      </vt:variant>
      <vt:variant>
        <vt:i4>188</vt:i4>
      </vt:variant>
      <vt:variant>
        <vt:i4>0</vt:i4>
      </vt:variant>
      <vt:variant>
        <vt:i4>5</vt:i4>
      </vt:variant>
      <vt:variant>
        <vt:lpwstr/>
      </vt:variant>
      <vt:variant>
        <vt:lpwstr>_Toc44075791</vt:lpwstr>
      </vt:variant>
      <vt:variant>
        <vt:i4>1245240</vt:i4>
      </vt:variant>
      <vt:variant>
        <vt:i4>182</vt:i4>
      </vt:variant>
      <vt:variant>
        <vt:i4>0</vt:i4>
      </vt:variant>
      <vt:variant>
        <vt:i4>5</vt:i4>
      </vt:variant>
      <vt:variant>
        <vt:lpwstr/>
      </vt:variant>
      <vt:variant>
        <vt:lpwstr>_Toc44075790</vt:lpwstr>
      </vt:variant>
      <vt:variant>
        <vt:i4>1703993</vt:i4>
      </vt:variant>
      <vt:variant>
        <vt:i4>176</vt:i4>
      </vt:variant>
      <vt:variant>
        <vt:i4>0</vt:i4>
      </vt:variant>
      <vt:variant>
        <vt:i4>5</vt:i4>
      </vt:variant>
      <vt:variant>
        <vt:lpwstr/>
      </vt:variant>
      <vt:variant>
        <vt:lpwstr>_Toc44075789</vt:lpwstr>
      </vt:variant>
      <vt:variant>
        <vt:i4>1769529</vt:i4>
      </vt:variant>
      <vt:variant>
        <vt:i4>170</vt:i4>
      </vt:variant>
      <vt:variant>
        <vt:i4>0</vt:i4>
      </vt:variant>
      <vt:variant>
        <vt:i4>5</vt:i4>
      </vt:variant>
      <vt:variant>
        <vt:lpwstr/>
      </vt:variant>
      <vt:variant>
        <vt:lpwstr>_Toc44075788</vt:lpwstr>
      </vt:variant>
      <vt:variant>
        <vt:i4>1310777</vt:i4>
      </vt:variant>
      <vt:variant>
        <vt:i4>164</vt:i4>
      </vt:variant>
      <vt:variant>
        <vt:i4>0</vt:i4>
      </vt:variant>
      <vt:variant>
        <vt:i4>5</vt:i4>
      </vt:variant>
      <vt:variant>
        <vt:lpwstr/>
      </vt:variant>
      <vt:variant>
        <vt:lpwstr>_Toc44075787</vt:lpwstr>
      </vt:variant>
      <vt:variant>
        <vt:i4>1376313</vt:i4>
      </vt:variant>
      <vt:variant>
        <vt:i4>158</vt:i4>
      </vt:variant>
      <vt:variant>
        <vt:i4>0</vt:i4>
      </vt:variant>
      <vt:variant>
        <vt:i4>5</vt:i4>
      </vt:variant>
      <vt:variant>
        <vt:lpwstr/>
      </vt:variant>
      <vt:variant>
        <vt:lpwstr>_Toc44075786</vt:lpwstr>
      </vt:variant>
      <vt:variant>
        <vt:i4>1441849</vt:i4>
      </vt:variant>
      <vt:variant>
        <vt:i4>152</vt:i4>
      </vt:variant>
      <vt:variant>
        <vt:i4>0</vt:i4>
      </vt:variant>
      <vt:variant>
        <vt:i4>5</vt:i4>
      </vt:variant>
      <vt:variant>
        <vt:lpwstr/>
      </vt:variant>
      <vt:variant>
        <vt:lpwstr>_Toc44075785</vt:lpwstr>
      </vt:variant>
      <vt:variant>
        <vt:i4>1507385</vt:i4>
      </vt:variant>
      <vt:variant>
        <vt:i4>146</vt:i4>
      </vt:variant>
      <vt:variant>
        <vt:i4>0</vt:i4>
      </vt:variant>
      <vt:variant>
        <vt:i4>5</vt:i4>
      </vt:variant>
      <vt:variant>
        <vt:lpwstr/>
      </vt:variant>
      <vt:variant>
        <vt:lpwstr>_Toc44075784</vt:lpwstr>
      </vt:variant>
      <vt:variant>
        <vt:i4>1048633</vt:i4>
      </vt:variant>
      <vt:variant>
        <vt:i4>140</vt:i4>
      </vt:variant>
      <vt:variant>
        <vt:i4>0</vt:i4>
      </vt:variant>
      <vt:variant>
        <vt:i4>5</vt:i4>
      </vt:variant>
      <vt:variant>
        <vt:lpwstr/>
      </vt:variant>
      <vt:variant>
        <vt:lpwstr>_Toc44075783</vt:lpwstr>
      </vt:variant>
      <vt:variant>
        <vt:i4>1114169</vt:i4>
      </vt:variant>
      <vt:variant>
        <vt:i4>134</vt:i4>
      </vt:variant>
      <vt:variant>
        <vt:i4>0</vt:i4>
      </vt:variant>
      <vt:variant>
        <vt:i4>5</vt:i4>
      </vt:variant>
      <vt:variant>
        <vt:lpwstr/>
      </vt:variant>
      <vt:variant>
        <vt:lpwstr>_Toc44075782</vt:lpwstr>
      </vt:variant>
      <vt:variant>
        <vt:i4>1179705</vt:i4>
      </vt:variant>
      <vt:variant>
        <vt:i4>128</vt:i4>
      </vt:variant>
      <vt:variant>
        <vt:i4>0</vt:i4>
      </vt:variant>
      <vt:variant>
        <vt:i4>5</vt:i4>
      </vt:variant>
      <vt:variant>
        <vt:lpwstr/>
      </vt:variant>
      <vt:variant>
        <vt:lpwstr>_Toc44075781</vt:lpwstr>
      </vt:variant>
      <vt:variant>
        <vt:i4>1245241</vt:i4>
      </vt:variant>
      <vt:variant>
        <vt:i4>122</vt:i4>
      </vt:variant>
      <vt:variant>
        <vt:i4>0</vt:i4>
      </vt:variant>
      <vt:variant>
        <vt:i4>5</vt:i4>
      </vt:variant>
      <vt:variant>
        <vt:lpwstr/>
      </vt:variant>
      <vt:variant>
        <vt:lpwstr>_Toc44075780</vt:lpwstr>
      </vt:variant>
      <vt:variant>
        <vt:i4>1703990</vt:i4>
      </vt:variant>
      <vt:variant>
        <vt:i4>116</vt:i4>
      </vt:variant>
      <vt:variant>
        <vt:i4>0</vt:i4>
      </vt:variant>
      <vt:variant>
        <vt:i4>5</vt:i4>
      </vt:variant>
      <vt:variant>
        <vt:lpwstr/>
      </vt:variant>
      <vt:variant>
        <vt:lpwstr>_Toc44075779</vt:lpwstr>
      </vt:variant>
      <vt:variant>
        <vt:i4>1769526</vt:i4>
      </vt:variant>
      <vt:variant>
        <vt:i4>110</vt:i4>
      </vt:variant>
      <vt:variant>
        <vt:i4>0</vt:i4>
      </vt:variant>
      <vt:variant>
        <vt:i4>5</vt:i4>
      </vt:variant>
      <vt:variant>
        <vt:lpwstr/>
      </vt:variant>
      <vt:variant>
        <vt:lpwstr>_Toc44075778</vt:lpwstr>
      </vt:variant>
      <vt:variant>
        <vt:i4>1310774</vt:i4>
      </vt:variant>
      <vt:variant>
        <vt:i4>104</vt:i4>
      </vt:variant>
      <vt:variant>
        <vt:i4>0</vt:i4>
      </vt:variant>
      <vt:variant>
        <vt:i4>5</vt:i4>
      </vt:variant>
      <vt:variant>
        <vt:lpwstr/>
      </vt:variant>
      <vt:variant>
        <vt:lpwstr>_Toc44075777</vt:lpwstr>
      </vt:variant>
      <vt:variant>
        <vt:i4>1376310</vt:i4>
      </vt:variant>
      <vt:variant>
        <vt:i4>98</vt:i4>
      </vt:variant>
      <vt:variant>
        <vt:i4>0</vt:i4>
      </vt:variant>
      <vt:variant>
        <vt:i4>5</vt:i4>
      </vt:variant>
      <vt:variant>
        <vt:lpwstr/>
      </vt:variant>
      <vt:variant>
        <vt:lpwstr>_Toc44075776</vt:lpwstr>
      </vt:variant>
      <vt:variant>
        <vt:i4>1441846</vt:i4>
      </vt:variant>
      <vt:variant>
        <vt:i4>92</vt:i4>
      </vt:variant>
      <vt:variant>
        <vt:i4>0</vt:i4>
      </vt:variant>
      <vt:variant>
        <vt:i4>5</vt:i4>
      </vt:variant>
      <vt:variant>
        <vt:lpwstr/>
      </vt:variant>
      <vt:variant>
        <vt:lpwstr>_Toc44075775</vt:lpwstr>
      </vt:variant>
      <vt:variant>
        <vt:i4>1507382</vt:i4>
      </vt:variant>
      <vt:variant>
        <vt:i4>86</vt:i4>
      </vt:variant>
      <vt:variant>
        <vt:i4>0</vt:i4>
      </vt:variant>
      <vt:variant>
        <vt:i4>5</vt:i4>
      </vt:variant>
      <vt:variant>
        <vt:lpwstr/>
      </vt:variant>
      <vt:variant>
        <vt:lpwstr>_Toc44075774</vt:lpwstr>
      </vt:variant>
      <vt:variant>
        <vt:i4>1048630</vt:i4>
      </vt:variant>
      <vt:variant>
        <vt:i4>80</vt:i4>
      </vt:variant>
      <vt:variant>
        <vt:i4>0</vt:i4>
      </vt:variant>
      <vt:variant>
        <vt:i4>5</vt:i4>
      </vt:variant>
      <vt:variant>
        <vt:lpwstr/>
      </vt:variant>
      <vt:variant>
        <vt:lpwstr>_Toc44075773</vt:lpwstr>
      </vt:variant>
      <vt:variant>
        <vt:i4>1114166</vt:i4>
      </vt:variant>
      <vt:variant>
        <vt:i4>74</vt:i4>
      </vt:variant>
      <vt:variant>
        <vt:i4>0</vt:i4>
      </vt:variant>
      <vt:variant>
        <vt:i4>5</vt:i4>
      </vt:variant>
      <vt:variant>
        <vt:lpwstr/>
      </vt:variant>
      <vt:variant>
        <vt:lpwstr>_Toc44075772</vt:lpwstr>
      </vt:variant>
      <vt:variant>
        <vt:i4>1179702</vt:i4>
      </vt:variant>
      <vt:variant>
        <vt:i4>68</vt:i4>
      </vt:variant>
      <vt:variant>
        <vt:i4>0</vt:i4>
      </vt:variant>
      <vt:variant>
        <vt:i4>5</vt:i4>
      </vt:variant>
      <vt:variant>
        <vt:lpwstr/>
      </vt:variant>
      <vt:variant>
        <vt:lpwstr>_Toc44075771</vt:lpwstr>
      </vt:variant>
      <vt:variant>
        <vt:i4>1245238</vt:i4>
      </vt:variant>
      <vt:variant>
        <vt:i4>62</vt:i4>
      </vt:variant>
      <vt:variant>
        <vt:i4>0</vt:i4>
      </vt:variant>
      <vt:variant>
        <vt:i4>5</vt:i4>
      </vt:variant>
      <vt:variant>
        <vt:lpwstr/>
      </vt:variant>
      <vt:variant>
        <vt:lpwstr>_Toc44075770</vt:lpwstr>
      </vt:variant>
      <vt:variant>
        <vt:i4>1703991</vt:i4>
      </vt:variant>
      <vt:variant>
        <vt:i4>56</vt:i4>
      </vt:variant>
      <vt:variant>
        <vt:i4>0</vt:i4>
      </vt:variant>
      <vt:variant>
        <vt:i4>5</vt:i4>
      </vt:variant>
      <vt:variant>
        <vt:lpwstr/>
      </vt:variant>
      <vt:variant>
        <vt:lpwstr>_Toc44075769</vt:lpwstr>
      </vt:variant>
      <vt:variant>
        <vt:i4>1769527</vt:i4>
      </vt:variant>
      <vt:variant>
        <vt:i4>50</vt:i4>
      </vt:variant>
      <vt:variant>
        <vt:i4>0</vt:i4>
      </vt:variant>
      <vt:variant>
        <vt:i4>5</vt:i4>
      </vt:variant>
      <vt:variant>
        <vt:lpwstr/>
      </vt:variant>
      <vt:variant>
        <vt:lpwstr>_Toc44075768</vt:lpwstr>
      </vt:variant>
      <vt:variant>
        <vt:i4>1310775</vt:i4>
      </vt:variant>
      <vt:variant>
        <vt:i4>44</vt:i4>
      </vt:variant>
      <vt:variant>
        <vt:i4>0</vt:i4>
      </vt:variant>
      <vt:variant>
        <vt:i4>5</vt:i4>
      </vt:variant>
      <vt:variant>
        <vt:lpwstr/>
      </vt:variant>
      <vt:variant>
        <vt:lpwstr>_Toc44075767</vt:lpwstr>
      </vt:variant>
      <vt:variant>
        <vt:i4>1376311</vt:i4>
      </vt:variant>
      <vt:variant>
        <vt:i4>38</vt:i4>
      </vt:variant>
      <vt:variant>
        <vt:i4>0</vt:i4>
      </vt:variant>
      <vt:variant>
        <vt:i4>5</vt:i4>
      </vt:variant>
      <vt:variant>
        <vt:lpwstr/>
      </vt:variant>
      <vt:variant>
        <vt:lpwstr>_Toc44075766</vt:lpwstr>
      </vt:variant>
      <vt:variant>
        <vt:i4>1441847</vt:i4>
      </vt:variant>
      <vt:variant>
        <vt:i4>32</vt:i4>
      </vt:variant>
      <vt:variant>
        <vt:i4>0</vt:i4>
      </vt:variant>
      <vt:variant>
        <vt:i4>5</vt:i4>
      </vt:variant>
      <vt:variant>
        <vt:lpwstr/>
      </vt:variant>
      <vt:variant>
        <vt:lpwstr>_Toc44075765</vt:lpwstr>
      </vt:variant>
      <vt:variant>
        <vt:i4>1507383</vt:i4>
      </vt:variant>
      <vt:variant>
        <vt:i4>26</vt:i4>
      </vt:variant>
      <vt:variant>
        <vt:i4>0</vt:i4>
      </vt:variant>
      <vt:variant>
        <vt:i4>5</vt:i4>
      </vt:variant>
      <vt:variant>
        <vt:lpwstr/>
      </vt:variant>
      <vt:variant>
        <vt:lpwstr>_Toc44075764</vt:lpwstr>
      </vt:variant>
      <vt:variant>
        <vt:i4>1048631</vt:i4>
      </vt:variant>
      <vt:variant>
        <vt:i4>20</vt:i4>
      </vt:variant>
      <vt:variant>
        <vt:i4>0</vt:i4>
      </vt:variant>
      <vt:variant>
        <vt:i4>5</vt:i4>
      </vt:variant>
      <vt:variant>
        <vt:lpwstr/>
      </vt:variant>
      <vt:variant>
        <vt:lpwstr>_Toc44075763</vt:lpwstr>
      </vt:variant>
      <vt:variant>
        <vt:i4>1114167</vt:i4>
      </vt:variant>
      <vt:variant>
        <vt:i4>14</vt:i4>
      </vt:variant>
      <vt:variant>
        <vt:i4>0</vt:i4>
      </vt:variant>
      <vt:variant>
        <vt:i4>5</vt:i4>
      </vt:variant>
      <vt:variant>
        <vt:lpwstr/>
      </vt:variant>
      <vt:variant>
        <vt:lpwstr>_Toc44075762</vt:lpwstr>
      </vt:variant>
      <vt:variant>
        <vt:i4>1179703</vt:i4>
      </vt:variant>
      <vt:variant>
        <vt:i4>8</vt:i4>
      </vt:variant>
      <vt:variant>
        <vt:i4>0</vt:i4>
      </vt:variant>
      <vt:variant>
        <vt:i4>5</vt:i4>
      </vt:variant>
      <vt:variant>
        <vt:lpwstr/>
      </vt:variant>
      <vt:variant>
        <vt:lpwstr>_Toc44075761</vt:lpwstr>
      </vt:variant>
      <vt:variant>
        <vt:i4>1245239</vt:i4>
      </vt:variant>
      <vt:variant>
        <vt:i4>2</vt:i4>
      </vt:variant>
      <vt:variant>
        <vt:i4>0</vt:i4>
      </vt:variant>
      <vt:variant>
        <vt:i4>5</vt:i4>
      </vt:variant>
      <vt:variant>
        <vt:lpwstr/>
      </vt:variant>
      <vt:variant>
        <vt:lpwstr>_Toc44075760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McFadden-Lewis, Kate</dc:creator>
  <cp:keywords/>
  <cp:lastModifiedBy>Sotubo, Bola  - North East London CCG</cp:lastModifiedBy>
  <cp:revision>5</cp:revision>
  <cp:lastPrinted>2022-06-23T11:41:00Z</cp:lastPrinted>
  <dcterms:created xsi:type="dcterms:W3CDTF">2022-05-11T15:59:00Z</dcterms:created>
  <dcterms:modified xsi:type="dcterms:W3CDTF">2022-06-23T14:38:00Z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0x010100FA3DC5ABB010A3409C1B0BC61D57ADCA</vt:lpwstr>
  </property>
</Properties>
</file>