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80"/>
        <w:gridCol w:w="2528"/>
        <w:gridCol w:w="3142"/>
        <w:gridCol w:w="1366"/>
      </w:tblGrid>
      <w:tr w:rsidR="00241478" w:rsidRPr="0041272F" w:rsidTr="00B0193A">
        <w:tc>
          <w:tcPr>
            <w:tcW w:w="9016" w:type="dxa"/>
            <w:gridSpan w:val="4"/>
            <w:shd w:val="clear" w:color="auto" w:fill="92D050"/>
          </w:tcPr>
          <w:p w:rsidR="00241478" w:rsidRPr="00510C6F" w:rsidRDefault="00694C20" w:rsidP="00241478">
            <w:pPr>
              <w:pStyle w:val="Heading1"/>
            </w:pPr>
            <w:bookmarkStart w:id="0" w:name="_GoBack"/>
            <w:bookmarkEnd w:id="0"/>
            <w:r>
              <w:t>Magnesium</w:t>
            </w:r>
          </w:p>
        </w:tc>
      </w:tr>
      <w:tr w:rsidR="00755BB0" w:rsidRPr="0041272F" w:rsidTr="00755BB0">
        <w:trPr>
          <w:trHeight w:val="364"/>
        </w:trPr>
        <w:tc>
          <w:tcPr>
            <w:tcW w:w="1980" w:type="dxa"/>
            <w:vMerge w:val="restart"/>
            <w:shd w:val="clear" w:color="auto" w:fill="00B0F0"/>
          </w:tcPr>
          <w:p w:rsidR="00755BB0" w:rsidRPr="0041272F" w:rsidRDefault="00755BB0" w:rsidP="00241478">
            <w:pPr>
              <w:rPr>
                <w:sz w:val="24"/>
                <w:szCs w:val="24"/>
              </w:rPr>
            </w:pPr>
            <w:r>
              <w:rPr>
                <w:sz w:val="24"/>
                <w:szCs w:val="24"/>
              </w:rPr>
              <w:t>Preparations listed in the Drug tariff (DT)</w:t>
            </w:r>
          </w:p>
        </w:tc>
        <w:tc>
          <w:tcPr>
            <w:tcW w:w="5670" w:type="dxa"/>
            <w:gridSpan w:val="2"/>
          </w:tcPr>
          <w:p w:rsidR="00755BB0" w:rsidRPr="00566E94" w:rsidRDefault="00220864" w:rsidP="00241478">
            <w:pPr>
              <w:rPr>
                <w:b/>
                <w:sz w:val="24"/>
                <w:szCs w:val="24"/>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755BB0" w:rsidRPr="00B26376">
                <w:rPr>
                  <w:rStyle w:val="Hyperlink"/>
                  <w:b/>
                  <w:sz w:val="24"/>
                  <w:szCs w:val="24"/>
                </w:rPr>
                <w:t>Part VIIIA (hover the mouse here for more info):</w:t>
              </w:r>
            </w:hyperlink>
          </w:p>
        </w:tc>
        <w:tc>
          <w:tcPr>
            <w:tcW w:w="1366" w:type="dxa"/>
          </w:tcPr>
          <w:p w:rsidR="00755BB0" w:rsidRPr="00566E94" w:rsidRDefault="00755BB0" w:rsidP="00241478">
            <w:pPr>
              <w:rPr>
                <w:b/>
                <w:sz w:val="24"/>
                <w:szCs w:val="24"/>
              </w:rPr>
            </w:pPr>
            <w:r>
              <w:rPr>
                <w:b/>
                <w:sz w:val="24"/>
                <w:szCs w:val="24"/>
              </w:rPr>
              <w:t>DT price</w:t>
            </w:r>
          </w:p>
        </w:tc>
      </w:tr>
      <w:tr w:rsidR="00755BB0" w:rsidRPr="0041272F" w:rsidTr="00755BB0">
        <w:trPr>
          <w:trHeight w:val="550"/>
        </w:trPr>
        <w:tc>
          <w:tcPr>
            <w:tcW w:w="1980" w:type="dxa"/>
            <w:vMerge/>
            <w:shd w:val="clear" w:color="auto" w:fill="00B0F0"/>
          </w:tcPr>
          <w:p w:rsidR="00755BB0" w:rsidRDefault="00755BB0" w:rsidP="00241478">
            <w:pPr>
              <w:rPr>
                <w:sz w:val="24"/>
                <w:szCs w:val="24"/>
              </w:rPr>
            </w:pPr>
          </w:p>
        </w:tc>
        <w:tc>
          <w:tcPr>
            <w:tcW w:w="5670" w:type="dxa"/>
            <w:gridSpan w:val="2"/>
          </w:tcPr>
          <w:p w:rsidR="00755BB0" w:rsidRPr="00855E1A" w:rsidRDefault="00755BB0" w:rsidP="00855E1A">
            <w:pPr>
              <w:pStyle w:val="Header"/>
              <w:tabs>
                <w:tab w:val="clear" w:pos="4513"/>
                <w:tab w:val="clear" w:pos="9026"/>
              </w:tabs>
            </w:pPr>
            <w:r w:rsidRPr="00855E1A">
              <w:t>Magnesium Aspartate (containing magnesium 243mg (10mmol)) oral powder sachets (Magnaspartate)</w:t>
            </w:r>
          </w:p>
        </w:tc>
        <w:tc>
          <w:tcPr>
            <w:tcW w:w="1366" w:type="dxa"/>
          </w:tcPr>
          <w:p w:rsidR="00755BB0" w:rsidRPr="00C76204" w:rsidRDefault="00855E1A" w:rsidP="00C37A2E">
            <w:pPr>
              <w:pStyle w:val="Header"/>
              <w:tabs>
                <w:tab w:val="clear" w:pos="4513"/>
                <w:tab w:val="clear" w:pos="9026"/>
              </w:tabs>
            </w:pPr>
            <w:r w:rsidRPr="00C76204">
              <w:t>£8.95 for 10</w:t>
            </w:r>
          </w:p>
        </w:tc>
      </w:tr>
      <w:tr w:rsidR="00755BB0" w:rsidRPr="0041272F" w:rsidTr="00755BB0">
        <w:trPr>
          <w:trHeight w:val="550"/>
        </w:trPr>
        <w:tc>
          <w:tcPr>
            <w:tcW w:w="1980" w:type="dxa"/>
            <w:vMerge/>
            <w:shd w:val="clear" w:color="auto" w:fill="00B0F0"/>
          </w:tcPr>
          <w:p w:rsidR="00755BB0" w:rsidRDefault="00755BB0" w:rsidP="00241478">
            <w:pPr>
              <w:rPr>
                <w:sz w:val="24"/>
                <w:szCs w:val="24"/>
              </w:rPr>
            </w:pPr>
          </w:p>
        </w:tc>
        <w:tc>
          <w:tcPr>
            <w:tcW w:w="5670" w:type="dxa"/>
            <w:gridSpan w:val="2"/>
          </w:tcPr>
          <w:p w:rsidR="00755BB0" w:rsidRPr="00855E1A" w:rsidRDefault="00755BB0" w:rsidP="00566E94">
            <w:r w:rsidRPr="00855E1A">
              <w:t>Magnesium glycerophosphate (containing magnesium 121.25mg/5ml (5mmol/5ml)) oral solution (MagnaPhos)</w:t>
            </w:r>
          </w:p>
        </w:tc>
        <w:tc>
          <w:tcPr>
            <w:tcW w:w="1366" w:type="dxa"/>
          </w:tcPr>
          <w:p w:rsidR="00755BB0" w:rsidRPr="00C37A2E" w:rsidRDefault="00855E1A" w:rsidP="00566E94">
            <w:r w:rsidRPr="00C37A2E">
              <w:t>£37.87</w:t>
            </w:r>
            <w:r>
              <w:t xml:space="preserve"> for 200ml</w:t>
            </w:r>
          </w:p>
        </w:tc>
      </w:tr>
      <w:tr w:rsidR="00755BB0" w:rsidRPr="0041272F" w:rsidTr="00755BB0">
        <w:trPr>
          <w:trHeight w:val="550"/>
        </w:trPr>
        <w:tc>
          <w:tcPr>
            <w:tcW w:w="1980" w:type="dxa"/>
            <w:vMerge/>
            <w:shd w:val="clear" w:color="auto" w:fill="00B0F0"/>
          </w:tcPr>
          <w:p w:rsidR="00755BB0" w:rsidRDefault="00755BB0" w:rsidP="00241478">
            <w:pPr>
              <w:rPr>
                <w:sz w:val="24"/>
                <w:szCs w:val="24"/>
              </w:rPr>
            </w:pPr>
          </w:p>
        </w:tc>
        <w:tc>
          <w:tcPr>
            <w:tcW w:w="5670" w:type="dxa"/>
            <w:gridSpan w:val="2"/>
          </w:tcPr>
          <w:p w:rsidR="00755BB0" w:rsidRPr="00855E1A" w:rsidRDefault="00755BB0" w:rsidP="00566E94">
            <w:r w:rsidRPr="00855E1A">
              <w:t>Magnesium glycerophosphate (containing magnesium 97.2mg (4mmol)) chewable tablets sugar free (Neomag)</w:t>
            </w:r>
          </w:p>
        </w:tc>
        <w:tc>
          <w:tcPr>
            <w:tcW w:w="1366" w:type="dxa"/>
          </w:tcPr>
          <w:p w:rsidR="00755BB0" w:rsidRPr="00C37A2E" w:rsidRDefault="00855E1A" w:rsidP="00566E94">
            <w:r>
              <w:t>£22.77 for 50</w:t>
            </w:r>
          </w:p>
        </w:tc>
      </w:tr>
      <w:tr w:rsidR="00855E1A" w:rsidRPr="0041272F" w:rsidTr="00855E1A">
        <w:trPr>
          <w:trHeight w:val="305"/>
        </w:trPr>
        <w:tc>
          <w:tcPr>
            <w:tcW w:w="1980" w:type="dxa"/>
            <w:vMerge/>
            <w:shd w:val="clear" w:color="auto" w:fill="00B0F0"/>
          </w:tcPr>
          <w:p w:rsidR="00855E1A" w:rsidRDefault="00855E1A" w:rsidP="00241478">
            <w:pPr>
              <w:rPr>
                <w:sz w:val="24"/>
                <w:szCs w:val="24"/>
              </w:rPr>
            </w:pPr>
          </w:p>
        </w:tc>
        <w:tc>
          <w:tcPr>
            <w:tcW w:w="5670" w:type="dxa"/>
            <w:gridSpan w:val="2"/>
          </w:tcPr>
          <w:p w:rsidR="00855E1A" w:rsidRPr="00855E1A" w:rsidRDefault="00220864" w:rsidP="00566E94">
            <w:pPr>
              <w:rPr>
                <w:b/>
                <w:sz w:val="24"/>
                <w:szCs w:val="24"/>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855E1A" w:rsidRPr="00B26376">
                <w:rPr>
                  <w:rStyle w:val="Hyperlink"/>
                  <w:b/>
                  <w:sz w:val="24"/>
                  <w:szCs w:val="24"/>
                </w:rPr>
                <w:t>Part VIIIB (hover the mouse here for more info):</w:t>
              </w:r>
            </w:hyperlink>
          </w:p>
        </w:tc>
        <w:tc>
          <w:tcPr>
            <w:tcW w:w="1366" w:type="dxa"/>
          </w:tcPr>
          <w:p w:rsidR="00855E1A" w:rsidRDefault="00855E1A" w:rsidP="00566E94">
            <w:pPr>
              <w:rPr>
                <w:sz w:val="24"/>
                <w:szCs w:val="24"/>
              </w:rPr>
            </w:pPr>
            <w:r>
              <w:rPr>
                <w:b/>
                <w:sz w:val="24"/>
                <w:szCs w:val="24"/>
              </w:rPr>
              <w:t>DT price</w:t>
            </w:r>
          </w:p>
        </w:tc>
      </w:tr>
      <w:tr w:rsidR="00855E1A" w:rsidRPr="0041272F" w:rsidTr="00755BB0">
        <w:trPr>
          <w:trHeight w:val="550"/>
        </w:trPr>
        <w:tc>
          <w:tcPr>
            <w:tcW w:w="1980" w:type="dxa"/>
            <w:vMerge/>
            <w:shd w:val="clear" w:color="auto" w:fill="00B0F0"/>
          </w:tcPr>
          <w:p w:rsidR="00855E1A" w:rsidRDefault="00855E1A" w:rsidP="00241478">
            <w:pPr>
              <w:rPr>
                <w:sz w:val="24"/>
                <w:szCs w:val="24"/>
              </w:rPr>
            </w:pPr>
          </w:p>
        </w:tc>
        <w:tc>
          <w:tcPr>
            <w:tcW w:w="5670" w:type="dxa"/>
            <w:gridSpan w:val="2"/>
          </w:tcPr>
          <w:p w:rsidR="00855E1A" w:rsidRPr="00855E1A" w:rsidRDefault="00855E1A" w:rsidP="00855E1A">
            <w:pPr>
              <w:pStyle w:val="Header"/>
              <w:tabs>
                <w:tab w:val="clear" w:pos="4513"/>
                <w:tab w:val="clear" w:pos="9026"/>
              </w:tabs>
            </w:pPr>
            <w:r w:rsidRPr="00855E1A">
              <w:t>Magnesium glycerophosphate (containing magnesium 97.2mg/5ml (4mmol/5ml)) oral solution</w:t>
            </w:r>
          </w:p>
        </w:tc>
        <w:tc>
          <w:tcPr>
            <w:tcW w:w="1366" w:type="dxa"/>
          </w:tcPr>
          <w:p w:rsidR="00855E1A" w:rsidRPr="00C37A2E" w:rsidRDefault="005750CD" w:rsidP="00C37A2E">
            <w:pPr>
              <w:pStyle w:val="Header"/>
              <w:tabs>
                <w:tab w:val="clear" w:pos="4513"/>
                <w:tab w:val="clear" w:pos="9026"/>
              </w:tabs>
            </w:pPr>
            <w:r>
              <w:t>£82.05 for 200ml</w:t>
            </w:r>
          </w:p>
        </w:tc>
      </w:tr>
      <w:tr w:rsidR="00855E1A" w:rsidRPr="0041272F" w:rsidTr="00855E1A">
        <w:trPr>
          <w:trHeight w:val="277"/>
        </w:trPr>
        <w:tc>
          <w:tcPr>
            <w:tcW w:w="1980" w:type="dxa"/>
            <w:vMerge/>
            <w:shd w:val="clear" w:color="auto" w:fill="00B0F0"/>
          </w:tcPr>
          <w:p w:rsidR="00855E1A" w:rsidRDefault="00855E1A" w:rsidP="00241478">
            <w:pPr>
              <w:rPr>
                <w:sz w:val="24"/>
                <w:szCs w:val="24"/>
              </w:rPr>
            </w:pPr>
          </w:p>
        </w:tc>
        <w:tc>
          <w:tcPr>
            <w:tcW w:w="5670" w:type="dxa"/>
            <w:gridSpan w:val="2"/>
          </w:tcPr>
          <w:p w:rsidR="00855E1A" w:rsidRPr="00855E1A" w:rsidRDefault="00855E1A" w:rsidP="00241478">
            <w:r w:rsidRPr="00855E1A">
              <w:t>Magnesium glycerophosphate (containing magnesium 97.2mg</w:t>
            </w:r>
            <w:r w:rsidR="00C874C2">
              <w:t>/5ml (4mmol/5ml)) oral suspensi</w:t>
            </w:r>
            <w:r w:rsidRPr="00855E1A">
              <w:t>on</w:t>
            </w:r>
          </w:p>
        </w:tc>
        <w:tc>
          <w:tcPr>
            <w:tcW w:w="1366" w:type="dxa"/>
          </w:tcPr>
          <w:p w:rsidR="00855E1A" w:rsidRPr="00C37A2E" w:rsidRDefault="005750CD" w:rsidP="00241478">
            <w:r>
              <w:t>£41.91 for 100ml</w:t>
            </w:r>
          </w:p>
        </w:tc>
      </w:tr>
      <w:tr w:rsidR="003E034C" w:rsidRPr="0041272F" w:rsidTr="00441FEE">
        <w:tc>
          <w:tcPr>
            <w:tcW w:w="9016" w:type="dxa"/>
            <w:gridSpan w:val="4"/>
            <w:shd w:val="clear" w:color="auto" w:fill="FFFF00"/>
          </w:tcPr>
          <w:p w:rsidR="003E034C" w:rsidRDefault="003E034C" w:rsidP="00FC5786">
            <w:pPr>
              <w:rPr>
                <w:sz w:val="24"/>
                <w:szCs w:val="24"/>
              </w:rPr>
            </w:pPr>
            <w:r>
              <w:rPr>
                <w:sz w:val="24"/>
                <w:szCs w:val="24"/>
              </w:rPr>
              <w:t>Administration in swallowing difficulties</w:t>
            </w:r>
          </w:p>
        </w:tc>
      </w:tr>
      <w:tr w:rsidR="003E034C" w:rsidRPr="0041272F" w:rsidTr="003E034C">
        <w:tc>
          <w:tcPr>
            <w:tcW w:w="9016" w:type="dxa"/>
            <w:gridSpan w:val="4"/>
            <w:shd w:val="clear" w:color="auto" w:fill="auto"/>
          </w:tcPr>
          <w:p w:rsidR="003E034C" w:rsidRDefault="005E3406" w:rsidP="00FC5786">
            <w:pPr>
              <w:rPr>
                <w:sz w:val="24"/>
                <w:szCs w:val="24"/>
              </w:rPr>
            </w:pPr>
            <w:r>
              <w:rPr>
                <w:sz w:val="24"/>
                <w:szCs w:val="24"/>
              </w:rPr>
              <w:t xml:space="preserve">One </w:t>
            </w:r>
            <w:r w:rsidR="003E034C">
              <w:rPr>
                <w:sz w:val="24"/>
                <w:szCs w:val="24"/>
              </w:rPr>
              <w:t>Magnaspartate</w:t>
            </w:r>
            <w:r w:rsidR="004D2188">
              <w:rPr>
                <w:sz w:val="24"/>
                <w:szCs w:val="24"/>
              </w:rPr>
              <w:t xml:space="preserve"> </w:t>
            </w:r>
            <w:r>
              <w:rPr>
                <w:sz w:val="24"/>
                <w:szCs w:val="24"/>
              </w:rPr>
              <w:t>powder sachet</w:t>
            </w:r>
            <w:r w:rsidR="003E034C">
              <w:rPr>
                <w:sz w:val="24"/>
                <w:szCs w:val="24"/>
              </w:rPr>
              <w:t xml:space="preserve"> can be dissolved in 50-200ml of water, tea or orange juice. Stir </w:t>
            </w:r>
            <w:r w:rsidR="006C3FC2">
              <w:rPr>
                <w:sz w:val="24"/>
                <w:szCs w:val="24"/>
              </w:rPr>
              <w:t xml:space="preserve">until the solution is </w:t>
            </w:r>
            <w:r w:rsidR="003E034C">
              <w:rPr>
                <w:sz w:val="24"/>
                <w:szCs w:val="24"/>
              </w:rPr>
              <w:t>transparent. In orange juice or tea, inactive particles will be visible. Drink immediately. Discard any remaining contents of the sachet</w:t>
            </w:r>
            <w:r w:rsidR="003E034C" w:rsidRPr="005955BE">
              <w:rPr>
                <w:sz w:val="24"/>
                <w:szCs w:val="24"/>
                <w:vertAlign w:val="superscript"/>
              </w:rPr>
              <w:t>1</w:t>
            </w:r>
          </w:p>
          <w:p w:rsidR="008815E2" w:rsidRDefault="008815E2" w:rsidP="00241478">
            <w:pPr>
              <w:rPr>
                <w:sz w:val="24"/>
                <w:szCs w:val="24"/>
              </w:rPr>
            </w:pPr>
          </w:p>
          <w:p w:rsidR="003E034C" w:rsidRDefault="003E034C" w:rsidP="00241478">
            <w:pPr>
              <w:rPr>
                <w:sz w:val="24"/>
                <w:szCs w:val="24"/>
                <w:vertAlign w:val="superscript"/>
              </w:rPr>
            </w:pPr>
            <w:r>
              <w:rPr>
                <w:sz w:val="24"/>
                <w:szCs w:val="24"/>
              </w:rPr>
              <w:t>Neomag, the chewable tablet may be broken into quarter</w:t>
            </w:r>
            <w:r w:rsidR="004D2188">
              <w:rPr>
                <w:sz w:val="24"/>
                <w:szCs w:val="24"/>
              </w:rPr>
              <w:t>s</w:t>
            </w:r>
            <w:r>
              <w:rPr>
                <w:sz w:val="24"/>
                <w:szCs w:val="24"/>
              </w:rPr>
              <w:t xml:space="preserve"> and chewed or swallowed with water</w:t>
            </w:r>
            <w:r>
              <w:rPr>
                <w:sz w:val="24"/>
                <w:szCs w:val="24"/>
                <w:vertAlign w:val="superscript"/>
              </w:rPr>
              <w:t>2</w:t>
            </w:r>
          </w:p>
          <w:p w:rsidR="008815E2" w:rsidRDefault="008815E2" w:rsidP="00241478">
            <w:pPr>
              <w:rPr>
                <w:sz w:val="24"/>
                <w:szCs w:val="24"/>
              </w:rPr>
            </w:pPr>
          </w:p>
          <w:p w:rsidR="001C7AFE" w:rsidRPr="001C7AFE" w:rsidRDefault="001C7AFE" w:rsidP="00241478">
            <w:pPr>
              <w:rPr>
                <w:sz w:val="24"/>
                <w:szCs w:val="24"/>
              </w:rPr>
            </w:pPr>
            <w:r>
              <w:rPr>
                <w:sz w:val="24"/>
                <w:szCs w:val="24"/>
              </w:rPr>
              <w:t xml:space="preserve">Magnaphos (containing magnesium 97.2mg (4mmol)) chewable tablet </w:t>
            </w:r>
            <w:r w:rsidR="006F39B0">
              <w:rPr>
                <w:sz w:val="24"/>
                <w:szCs w:val="24"/>
              </w:rPr>
              <w:t xml:space="preserve">is a food supplement that </w:t>
            </w:r>
            <w:r>
              <w:rPr>
                <w:sz w:val="24"/>
                <w:szCs w:val="24"/>
              </w:rPr>
              <w:t>can be chewed or dissolved in water (peppermint flavour)</w:t>
            </w:r>
            <w:r>
              <w:rPr>
                <w:sz w:val="24"/>
                <w:szCs w:val="24"/>
                <w:vertAlign w:val="superscript"/>
              </w:rPr>
              <w:t>3</w:t>
            </w:r>
          </w:p>
        </w:tc>
      </w:tr>
      <w:tr w:rsidR="003E034C" w:rsidRPr="0041272F" w:rsidTr="003E034C">
        <w:tc>
          <w:tcPr>
            <w:tcW w:w="9016" w:type="dxa"/>
            <w:gridSpan w:val="4"/>
            <w:shd w:val="clear" w:color="auto" w:fill="FFC000"/>
          </w:tcPr>
          <w:p w:rsidR="003E034C" w:rsidRDefault="003E034C" w:rsidP="00FC5786">
            <w:pPr>
              <w:rPr>
                <w:sz w:val="24"/>
                <w:szCs w:val="24"/>
              </w:rPr>
            </w:pPr>
            <w:r>
              <w:rPr>
                <w:sz w:val="24"/>
                <w:szCs w:val="24"/>
              </w:rPr>
              <w:t>Administration in enteral feeding tube</w:t>
            </w:r>
          </w:p>
        </w:tc>
      </w:tr>
      <w:tr w:rsidR="003E034C" w:rsidRPr="0041272F" w:rsidTr="003E034C">
        <w:tc>
          <w:tcPr>
            <w:tcW w:w="9016" w:type="dxa"/>
            <w:gridSpan w:val="4"/>
            <w:shd w:val="clear" w:color="auto" w:fill="auto"/>
          </w:tcPr>
          <w:p w:rsidR="003E034C" w:rsidRDefault="005E3406" w:rsidP="00D53F74">
            <w:pPr>
              <w:rPr>
                <w:sz w:val="24"/>
                <w:szCs w:val="24"/>
                <w:vertAlign w:val="superscript"/>
              </w:rPr>
            </w:pPr>
            <w:r>
              <w:rPr>
                <w:sz w:val="24"/>
                <w:szCs w:val="24"/>
              </w:rPr>
              <w:t xml:space="preserve">One </w:t>
            </w:r>
            <w:r w:rsidR="003E034C">
              <w:rPr>
                <w:sz w:val="24"/>
                <w:szCs w:val="24"/>
              </w:rPr>
              <w:t xml:space="preserve">Magnaspartate </w:t>
            </w:r>
            <w:r>
              <w:rPr>
                <w:sz w:val="24"/>
                <w:szCs w:val="24"/>
              </w:rPr>
              <w:t xml:space="preserve">powder sachet dissolved </w:t>
            </w:r>
            <w:r w:rsidR="003E034C">
              <w:rPr>
                <w:sz w:val="24"/>
                <w:szCs w:val="24"/>
              </w:rPr>
              <w:t>in 200ml water can be administered via a gastric, duodenal and nasal feeding tube. This should be administered immediately after preparation</w:t>
            </w:r>
            <w:r w:rsidR="003E034C" w:rsidRPr="005955BE">
              <w:rPr>
                <w:sz w:val="24"/>
                <w:szCs w:val="24"/>
                <w:vertAlign w:val="superscript"/>
              </w:rPr>
              <w:t>1</w:t>
            </w:r>
          </w:p>
          <w:p w:rsidR="008815E2" w:rsidRDefault="008815E2" w:rsidP="00D53F74">
            <w:pPr>
              <w:rPr>
                <w:sz w:val="24"/>
                <w:szCs w:val="24"/>
              </w:rPr>
            </w:pPr>
          </w:p>
          <w:p w:rsidR="00F14909" w:rsidRPr="00F14909" w:rsidRDefault="00FE1395" w:rsidP="00D53F74">
            <w:pPr>
              <w:rPr>
                <w:sz w:val="24"/>
                <w:szCs w:val="24"/>
              </w:rPr>
            </w:pPr>
            <w:r>
              <w:rPr>
                <w:sz w:val="24"/>
                <w:szCs w:val="24"/>
              </w:rPr>
              <w:t>MagnaP</w:t>
            </w:r>
            <w:r w:rsidR="00F14909">
              <w:rPr>
                <w:sz w:val="24"/>
                <w:szCs w:val="24"/>
              </w:rPr>
              <w:t>hos 121.25mg/5ml (5mmol/5ml), 97.2mg/5ml (4mmol/5ml) oral solution</w:t>
            </w:r>
            <w:r>
              <w:rPr>
                <w:sz w:val="24"/>
                <w:szCs w:val="24"/>
              </w:rPr>
              <w:t xml:space="preserve"> is a food supplement suitable for use via enteral feeding tubes</w:t>
            </w:r>
            <w:r w:rsidR="0084332A">
              <w:rPr>
                <w:sz w:val="24"/>
                <w:szCs w:val="24"/>
              </w:rPr>
              <w:t xml:space="preserve"> (unlicensed)</w:t>
            </w:r>
            <w:r w:rsidR="001865BA">
              <w:rPr>
                <w:sz w:val="24"/>
                <w:szCs w:val="24"/>
                <w:vertAlign w:val="superscript"/>
              </w:rPr>
              <w:t>3</w:t>
            </w:r>
          </w:p>
        </w:tc>
      </w:tr>
      <w:tr w:rsidR="003E034C" w:rsidRPr="0041272F" w:rsidTr="003E034C">
        <w:tc>
          <w:tcPr>
            <w:tcW w:w="9016" w:type="dxa"/>
            <w:gridSpan w:val="4"/>
            <w:shd w:val="clear" w:color="auto" w:fill="FF0000"/>
          </w:tcPr>
          <w:p w:rsidR="003E034C" w:rsidRDefault="003E034C" w:rsidP="00D53F74">
            <w:pPr>
              <w:rPr>
                <w:sz w:val="24"/>
                <w:szCs w:val="24"/>
              </w:rPr>
            </w:pPr>
            <w:r>
              <w:rPr>
                <w:sz w:val="24"/>
                <w:szCs w:val="24"/>
              </w:rPr>
              <w:t>Comments</w:t>
            </w:r>
          </w:p>
        </w:tc>
      </w:tr>
      <w:tr w:rsidR="003E034C" w:rsidRPr="0041272F" w:rsidTr="003E034C">
        <w:tc>
          <w:tcPr>
            <w:tcW w:w="9016" w:type="dxa"/>
            <w:gridSpan w:val="4"/>
            <w:shd w:val="clear" w:color="auto" w:fill="auto"/>
          </w:tcPr>
          <w:p w:rsidR="003E034C" w:rsidRPr="0041272F" w:rsidRDefault="001865BA" w:rsidP="00241478">
            <w:pPr>
              <w:rPr>
                <w:sz w:val="24"/>
                <w:szCs w:val="24"/>
              </w:rPr>
            </w:pPr>
            <w:r>
              <w:rPr>
                <w:sz w:val="24"/>
                <w:szCs w:val="24"/>
              </w:rPr>
              <w:t>None</w:t>
            </w:r>
          </w:p>
        </w:tc>
      </w:tr>
      <w:tr w:rsidR="00D631A9" w:rsidRPr="0041272F" w:rsidTr="00441FEE">
        <w:tc>
          <w:tcPr>
            <w:tcW w:w="9016" w:type="dxa"/>
            <w:gridSpan w:val="4"/>
          </w:tcPr>
          <w:p w:rsidR="00D631A9" w:rsidRPr="00587423" w:rsidRDefault="00D631A9" w:rsidP="00241478">
            <w:r w:rsidRPr="00587423">
              <w:t>References</w:t>
            </w:r>
          </w:p>
          <w:p w:rsidR="00D631A9" w:rsidRPr="00587423" w:rsidRDefault="00D631A9" w:rsidP="00222183">
            <w:pPr>
              <w:pStyle w:val="ListParagraph"/>
              <w:numPr>
                <w:ilvl w:val="0"/>
                <w:numId w:val="2"/>
              </w:numPr>
              <w:ind w:left="313" w:hanging="313"/>
            </w:pPr>
            <w:r w:rsidRPr="00587423">
              <w:t>Summary of Product C</w:t>
            </w:r>
            <w:r w:rsidR="002671D5" w:rsidRPr="00587423">
              <w:t>haracteristics. Magnaspartate (Kora Healthcare) l</w:t>
            </w:r>
            <w:r w:rsidRPr="00587423">
              <w:t xml:space="preserve">ast updated July 2016. </w:t>
            </w:r>
            <w:hyperlink r:id="rId8" w:history="1">
              <w:r w:rsidRPr="00587423">
                <w:rPr>
                  <w:rStyle w:val="Hyperlink"/>
                </w:rPr>
                <w:t>www.medicines.org.uk</w:t>
              </w:r>
            </w:hyperlink>
            <w:r w:rsidRPr="00587423">
              <w:t xml:space="preserve"> accessed 9/5/2019</w:t>
            </w:r>
          </w:p>
          <w:p w:rsidR="00D631A9" w:rsidRDefault="00D631A9" w:rsidP="00222183">
            <w:pPr>
              <w:pStyle w:val="ListParagraph"/>
              <w:numPr>
                <w:ilvl w:val="0"/>
                <w:numId w:val="2"/>
              </w:numPr>
              <w:ind w:left="313" w:hanging="313"/>
            </w:pPr>
            <w:r w:rsidRPr="00587423">
              <w:t xml:space="preserve">Summary of </w:t>
            </w:r>
            <w:r w:rsidR="002671D5" w:rsidRPr="00587423">
              <w:t>Product Characteristics. Neomag (Neoceuticals)</w:t>
            </w:r>
            <w:r w:rsidRPr="00587423">
              <w:t xml:space="preserve"> </w:t>
            </w:r>
            <w:r w:rsidR="002671D5" w:rsidRPr="00587423">
              <w:t>l</w:t>
            </w:r>
            <w:r w:rsidRPr="00587423">
              <w:t xml:space="preserve">ast updated 10/1/2017. </w:t>
            </w:r>
            <w:hyperlink r:id="rId9" w:history="1">
              <w:r w:rsidRPr="00587423">
                <w:rPr>
                  <w:rStyle w:val="Hyperlink"/>
                </w:rPr>
                <w:t>www.medicines.org.uk</w:t>
              </w:r>
            </w:hyperlink>
            <w:r w:rsidRPr="00587423">
              <w:t xml:space="preserve"> accessed 9/5/2019</w:t>
            </w:r>
          </w:p>
          <w:p w:rsidR="00FE1395" w:rsidRPr="00587423" w:rsidRDefault="00FE1395" w:rsidP="00222183">
            <w:pPr>
              <w:pStyle w:val="ListParagraph"/>
              <w:numPr>
                <w:ilvl w:val="0"/>
                <w:numId w:val="2"/>
              </w:numPr>
              <w:ind w:left="313" w:hanging="313"/>
            </w:pPr>
            <w:r w:rsidRPr="002C1C09">
              <w:t xml:space="preserve">Email </w:t>
            </w:r>
            <w:r>
              <w:t>correspondence on file: MagnaPhos</w:t>
            </w:r>
            <w:r w:rsidRPr="002C1C09">
              <w:t xml:space="preserve">. </w:t>
            </w:r>
            <w:r>
              <w:t>TriOn Pharma</w:t>
            </w:r>
            <w:r w:rsidRPr="002C1C09">
              <w:t xml:space="preserve"> Medicine</w:t>
            </w:r>
            <w:r>
              <w:t>s information. Received 10 June</w:t>
            </w:r>
            <w:r w:rsidRPr="002C1C09">
              <w:t xml:space="preserve"> 2019</w:t>
            </w:r>
          </w:p>
          <w:p w:rsidR="00D631A9" w:rsidRPr="00587423" w:rsidRDefault="00D631A9" w:rsidP="00222183">
            <w:pPr>
              <w:pStyle w:val="ListParagraph"/>
              <w:numPr>
                <w:ilvl w:val="0"/>
                <w:numId w:val="2"/>
              </w:numPr>
              <w:ind w:left="313" w:hanging="313"/>
            </w:pPr>
            <w:r w:rsidRPr="00587423">
              <w:t xml:space="preserve">Drug Tariff May 2019 </w:t>
            </w:r>
            <w:hyperlink r:id="rId10" w:history="1">
              <w:r w:rsidRPr="00587423">
                <w:rPr>
                  <w:rStyle w:val="Hyperlink"/>
                </w:rPr>
                <w:t>https://www.nhsbsa.nhs.uk/pharmacies-gp-practices-and-appliance-contractors/drug-tariff</w:t>
              </w:r>
            </w:hyperlink>
            <w:r w:rsidRPr="00587423">
              <w:t xml:space="preserve"> </w:t>
            </w:r>
            <w:r w:rsidR="004D5F5F">
              <w:t>date accessed 23 May 2019</w:t>
            </w:r>
          </w:p>
        </w:tc>
      </w:tr>
      <w:tr w:rsidR="00241478" w:rsidRPr="0041272F" w:rsidTr="00241478">
        <w:tc>
          <w:tcPr>
            <w:tcW w:w="9016" w:type="dxa"/>
            <w:gridSpan w:val="4"/>
          </w:tcPr>
          <w:p w:rsidR="00241478" w:rsidRPr="00587423" w:rsidRDefault="00DE3FC9" w:rsidP="00241478">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241478" w:rsidRPr="0041272F" w:rsidTr="00587423">
        <w:trPr>
          <w:trHeight w:val="503"/>
        </w:trPr>
        <w:tc>
          <w:tcPr>
            <w:tcW w:w="9016" w:type="dxa"/>
            <w:gridSpan w:val="4"/>
          </w:tcPr>
          <w:p w:rsidR="005459D5" w:rsidRPr="00587423" w:rsidRDefault="005459D5" w:rsidP="005459D5">
            <w:r w:rsidRPr="00587423">
              <w:t>Author: Vicki Kong, QIPP Programme Pharmacist, BHR CCGs</w:t>
            </w:r>
          </w:p>
          <w:p w:rsidR="00241478" w:rsidRPr="00587423" w:rsidRDefault="00241478" w:rsidP="00587423">
            <w:r w:rsidRPr="00587423">
              <w:t>Approved by BHR CCGs Area Prescribing sub-</w:t>
            </w:r>
            <w:r w:rsidR="00587423">
              <w:t>Committees:</w:t>
            </w:r>
            <w:r w:rsidR="00C874C2">
              <w:t xml:space="preserve"> July 2019</w:t>
            </w:r>
          </w:p>
        </w:tc>
      </w:tr>
      <w:tr w:rsidR="00587423" w:rsidRPr="0041272F" w:rsidTr="00587423">
        <w:trPr>
          <w:trHeight w:val="95"/>
        </w:trPr>
        <w:tc>
          <w:tcPr>
            <w:tcW w:w="4508" w:type="dxa"/>
            <w:gridSpan w:val="2"/>
          </w:tcPr>
          <w:p w:rsidR="00587423" w:rsidRPr="00587423" w:rsidRDefault="00587423" w:rsidP="00587423">
            <w:r w:rsidRPr="00587423">
              <w:t>Review date:</w:t>
            </w:r>
            <w:r w:rsidR="00C874C2">
              <w:t xml:space="preserve"> July 2021</w:t>
            </w:r>
          </w:p>
        </w:tc>
        <w:tc>
          <w:tcPr>
            <w:tcW w:w="4508" w:type="dxa"/>
            <w:gridSpan w:val="2"/>
          </w:tcPr>
          <w:p w:rsidR="00587423" w:rsidRPr="00587423" w:rsidRDefault="00587423" w:rsidP="00587423">
            <w:r w:rsidRPr="00587423">
              <w:t>Version: 1</w:t>
            </w:r>
          </w:p>
        </w:tc>
      </w:tr>
    </w:tbl>
    <w:p w:rsidR="00241478" w:rsidRDefault="00241478"/>
    <w:sectPr w:rsidR="00241478" w:rsidSect="00E3055A">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8B4" w:rsidRDefault="003C68B4" w:rsidP="00F72AFB">
      <w:r>
        <w:separator/>
      </w:r>
    </w:p>
  </w:endnote>
  <w:endnote w:type="continuationSeparator" w:id="0">
    <w:p w:rsidR="003C68B4" w:rsidRDefault="003C68B4"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B4" w:rsidRDefault="003C68B4">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5E2" w:rsidRDefault="008815E2">
    <w:pPr>
      <w:pStyle w:val="Footer"/>
    </w:pPr>
    <w:r>
      <w:rPr>
        <w:noProof/>
        <w:lang w:eastAsia="en-GB"/>
      </w:rPr>
      <w:drawing>
        <wp:anchor distT="0" distB="0" distL="114300" distR="114300" simplePos="0" relativeHeight="251663360" behindDoc="1" locked="0" layoutInCell="1" allowOverlap="1" wp14:anchorId="2883B324" wp14:editId="5F7C45C4">
          <wp:simplePos x="0" y="0"/>
          <wp:positionH relativeFrom="page">
            <wp:align>right</wp:align>
          </wp:positionH>
          <wp:positionV relativeFrom="bottomMargin">
            <wp:align>top</wp:align>
          </wp:positionV>
          <wp:extent cx="64770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8B4" w:rsidRDefault="003C68B4" w:rsidP="00F72AFB">
      <w:r>
        <w:separator/>
      </w:r>
    </w:p>
  </w:footnote>
  <w:footnote w:type="continuationSeparator" w:id="0">
    <w:p w:rsidR="003C68B4" w:rsidRDefault="003C68B4"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B4" w:rsidRDefault="003C68B4">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8B4" w:rsidRDefault="003C68B4" w:rsidP="00DE3FC9">
    <w:pPr>
      <w:pStyle w:val="Header"/>
      <w:tabs>
        <w:tab w:val="clear" w:pos="4513"/>
        <w:tab w:val="clear" w:pos="9026"/>
        <w:tab w:val="left" w:pos="7875"/>
      </w:tabs>
    </w:pPr>
    <w:r>
      <w:rPr>
        <w:noProof/>
        <w:lang w:eastAsia="en-GB"/>
      </w:rPr>
      <w:drawing>
        <wp:anchor distT="0" distB="0" distL="114300" distR="114300" simplePos="0" relativeHeight="251661312" behindDoc="0" locked="0" layoutInCell="1" allowOverlap="1" wp14:anchorId="580D1FBC" wp14:editId="0A8764A3">
          <wp:simplePos x="0" y="0"/>
          <wp:positionH relativeFrom="margin">
            <wp:align>right</wp:align>
          </wp:positionH>
          <wp:positionV relativeFrom="paragraph">
            <wp:posOffset>-448310</wp:posOffset>
          </wp:positionV>
          <wp:extent cx="1943740" cy="914400"/>
          <wp:effectExtent l="0" t="0" r="0" b="0"/>
          <wp:wrapNone/>
          <wp:docPr id="4" name="Picture 4"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10"/>
  </w:num>
  <w:num w:numId="5">
    <w:abstractNumId w:val="13"/>
  </w:num>
  <w:num w:numId="6">
    <w:abstractNumId w:val="7"/>
  </w:num>
  <w:num w:numId="7">
    <w:abstractNumId w:val="3"/>
  </w:num>
  <w:num w:numId="8">
    <w:abstractNumId w:val="8"/>
  </w:num>
  <w:num w:numId="9">
    <w:abstractNumId w:val="9"/>
  </w:num>
  <w:num w:numId="10">
    <w:abstractNumId w:val="4"/>
  </w:num>
  <w:num w:numId="11">
    <w:abstractNumId w:val="11"/>
  </w:num>
  <w:num w:numId="12">
    <w:abstractNumId w:val="1"/>
  </w:num>
  <w:num w:numId="13">
    <w:abstractNumId w:val="1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djtcW3TB+rp61wI9f9gfOQl8NenNo1K1hLiAOhxFZPlkQdeeC4mkSCx2A5ZkMS31MGG6McthE+dCrMuThwRDg==" w:salt="81ltmX6/s7vdLnAw50d8Y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43617"/>
    <w:rsid w:val="000760DA"/>
    <w:rsid w:val="00077947"/>
    <w:rsid w:val="000917D0"/>
    <w:rsid w:val="000B0333"/>
    <w:rsid w:val="000C7A55"/>
    <w:rsid w:val="000F6901"/>
    <w:rsid w:val="000F781D"/>
    <w:rsid w:val="00104B1F"/>
    <w:rsid w:val="00122DD3"/>
    <w:rsid w:val="00126DF3"/>
    <w:rsid w:val="00134D3A"/>
    <w:rsid w:val="001577C9"/>
    <w:rsid w:val="0016036D"/>
    <w:rsid w:val="00160CDD"/>
    <w:rsid w:val="0016214E"/>
    <w:rsid w:val="001865BA"/>
    <w:rsid w:val="00197836"/>
    <w:rsid w:val="001A1B36"/>
    <w:rsid w:val="001C7AFE"/>
    <w:rsid w:val="001D098E"/>
    <w:rsid w:val="001E07CC"/>
    <w:rsid w:val="001E1CC3"/>
    <w:rsid w:val="001F1CC6"/>
    <w:rsid w:val="0020558B"/>
    <w:rsid w:val="00214CBB"/>
    <w:rsid w:val="00220864"/>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B6CCF"/>
    <w:rsid w:val="002C1C09"/>
    <w:rsid w:val="002D01AD"/>
    <w:rsid w:val="002E0D4E"/>
    <w:rsid w:val="002E1B4E"/>
    <w:rsid w:val="002E5A1D"/>
    <w:rsid w:val="002E6888"/>
    <w:rsid w:val="00300289"/>
    <w:rsid w:val="00320699"/>
    <w:rsid w:val="003413AC"/>
    <w:rsid w:val="00354724"/>
    <w:rsid w:val="00357A02"/>
    <w:rsid w:val="00374E37"/>
    <w:rsid w:val="00376A86"/>
    <w:rsid w:val="00384499"/>
    <w:rsid w:val="0039078E"/>
    <w:rsid w:val="003944A6"/>
    <w:rsid w:val="003B31C2"/>
    <w:rsid w:val="003C1217"/>
    <w:rsid w:val="003C68B4"/>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296"/>
    <w:rsid w:val="004E4206"/>
    <w:rsid w:val="004F37B6"/>
    <w:rsid w:val="004F7CC4"/>
    <w:rsid w:val="005004A6"/>
    <w:rsid w:val="00506B6B"/>
    <w:rsid w:val="00522505"/>
    <w:rsid w:val="00524D92"/>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4114F"/>
    <w:rsid w:val="006436C2"/>
    <w:rsid w:val="006766ED"/>
    <w:rsid w:val="006774AA"/>
    <w:rsid w:val="00694C20"/>
    <w:rsid w:val="006969A1"/>
    <w:rsid w:val="006A51E3"/>
    <w:rsid w:val="006B5DD9"/>
    <w:rsid w:val="006C3FC2"/>
    <w:rsid w:val="006D77BC"/>
    <w:rsid w:val="006F39B0"/>
    <w:rsid w:val="006F5F76"/>
    <w:rsid w:val="006F6618"/>
    <w:rsid w:val="0070746C"/>
    <w:rsid w:val="007179B9"/>
    <w:rsid w:val="00730141"/>
    <w:rsid w:val="0073460E"/>
    <w:rsid w:val="007531AC"/>
    <w:rsid w:val="00755BB0"/>
    <w:rsid w:val="00766C97"/>
    <w:rsid w:val="007704BA"/>
    <w:rsid w:val="00772B37"/>
    <w:rsid w:val="00794EBA"/>
    <w:rsid w:val="007A30B7"/>
    <w:rsid w:val="007A4D1E"/>
    <w:rsid w:val="007C3222"/>
    <w:rsid w:val="007D6AB7"/>
    <w:rsid w:val="00802D12"/>
    <w:rsid w:val="00831035"/>
    <w:rsid w:val="0084332A"/>
    <w:rsid w:val="00855E1A"/>
    <w:rsid w:val="00861368"/>
    <w:rsid w:val="0086351F"/>
    <w:rsid w:val="008815E2"/>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65FAC"/>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37A2E"/>
    <w:rsid w:val="00C43EB0"/>
    <w:rsid w:val="00C519C8"/>
    <w:rsid w:val="00C61A2C"/>
    <w:rsid w:val="00C712BA"/>
    <w:rsid w:val="00C76204"/>
    <w:rsid w:val="00C874C2"/>
    <w:rsid w:val="00C944BE"/>
    <w:rsid w:val="00CA5D27"/>
    <w:rsid w:val="00CB03FC"/>
    <w:rsid w:val="00CB5BEE"/>
    <w:rsid w:val="00CC378A"/>
    <w:rsid w:val="00CC4E07"/>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53FE"/>
    <w:rsid w:val="00DC6086"/>
    <w:rsid w:val="00DD4709"/>
    <w:rsid w:val="00DD5319"/>
    <w:rsid w:val="00DD6900"/>
    <w:rsid w:val="00DE3FC9"/>
    <w:rsid w:val="00DE4A25"/>
    <w:rsid w:val="00DF7D00"/>
    <w:rsid w:val="00E14E49"/>
    <w:rsid w:val="00E159AF"/>
    <w:rsid w:val="00E22943"/>
    <w:rsid w:val="00E3055A"/>
    <w:rsid w:val="00E31C78"/>
    <w:rsid w:val="00E51F8F"/>
    <w:rsid w:val="00E52E30"/>
    <w:rsid w:val="00E6760B"/>
    <w:rsid w:val="00E73F03"/>
    <w:rsid w:val="00E805CD"/>
    <w:rsid w:val="00E8609B"/>
    <w:rsid w:val="00EB08B7"/>
    <w:rsid w:val="00ED329C"/>
    <w:rsid w:val="00EE1154"/>
    <w:rsid w:val="00F14909"/>
    <w:rsid w:val="00F52982"/>
    <w:rsid w:val="00F66B94"/>
    <w:rsid w:val="00F72AFB"/>
    <w:rsid w:val="00FA2BAA"/>
    <w:rsid w:val="00FA61A4"/>
    <w:rsid w:val="00FC55DB"/>
    <w:rsid w:val="00FC5786"/>
    <w:rsid w:val="00FD55F6"/>
    <w:rsid w:val="00FD5A11"/>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bsa.nhs.uk/pharmacies-gp-practices-and-appliance-contractors/drug-tariff" TargetMode="External"/><Relationship Id="rId4" Type="http://schemas.openxmlformats.org/officeDocument/2006/relationships/settings" Target="settings.xml"/><Relationship Id="rId9" Type="http://schemas.openxmlformats.org/officeDocument/2006/relationships/hyperlink" Target="http://www.medicines.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CCD53-2EB4-4F15-920E-B98237165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4</cp:revision>
  <dcterms:created xsi:type="dcterms:W3CDTF">2019-10-29T09:38:00Z</dcterms:created>
  <dcterms:modified xsi:type="dcterms:W3CDTF">2019-11-27T14:19:00Z</dcterms:modified>
</cp:coreProperties>
</file>