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794332685"/>
        <w:docPartObj>
          <w:docPartGallery w:val="Cover Pages"/>
          <w:docPartUnique/>
        </w:docPartObj>
      </w:sdtPr>
      <w:sdtEndPr/>
      <w:sdtContent>
        <w:p w:rsidR="00DE3FC9" w:rsidRDefault="00DE3FC9" w:rsidP="00DE3FC9">
          <w:pPr>
            <w:pStyle w:val="Header"/>
            <w:tabs>
              <w:tab w:val="clear" w:pos="4513"/>
              <w:tab w:val="clear" w:pos="9026"/>
            </w:tabs>
          </w:pPr>
        </w:p>
        <w:p w:rsidR="00E3055A" w:rsidRDefault="00EF6B49"/>
      </w:sdtContent>
    </w:sdt>
    <w:tbl>
      <w:tblPr>
        <w:tblStyle w:val="TableGrid"/>
        <w:tblW w:w="0" w:type="auto"/>
        <w:tblLook w:val="04A0" w:firstRow="1" w:lastRow="0" w:firstColumn="1" w:lastColumn="0" w:noHBand="0" w:noVBand="1"/>
      </w:tblPr>
      <w:tblGrid>
        <w:gridCol w:w="1980"/>
        <w:gridCol w:w="2528"/>
        <w:gridCol w:w="3000"/>
        <w:gridCol w:w="1508"/>
      </w:tblGrid>
      <w:tr w:rsidR="00A21E45" w:rsidRPr="0041272F" w:rsidTr="005A7A06">
        <w:tc>
          <w:tcPr>
            <w:tcW w:w="9016" w:type="dxa"/>
            <w:gridSpan w:val="4"/>
            <w:shd w:val="clear" w:color="auto" w:fill="92D050"/>
          </w:tcPr>
          <w:p w:rsidR="00A21E45" w:rsidRPr="00510C6F" w:rsidRDefault="0073460E" w:rsidP="0073460E">
            <w:pPr>
              <w:pStyle w:val="Heading1"/>
            </w:pPr>
            <w:bookmarkStart w:id="1" w:name="_Losartan"/>
            <w:bookmarkEnd w:id="1"/>
            <w:r>
              <w:t>Losartan</w:t>
            </w:r>
          </w:p>
        </w:tc>
      </w:tr>
      <w:tr w:rsidR="00EB0E1A" w:rsidRPr="0041272F" w:rsidTr="00CE3F64">
        <w:trPr>
          <w:trHeight w:val="285"/>
        </w:trPr>
        <w:tc>
          <w:tcPr>
            <w:tcW w:w="1980" w:type="dxa"/>
            <w:vMerge w:val="restart"/>
            <w:shd w:val="clear" w:color="auto" w:fill="00B0F0"/>
          </w:tcPr>
          <w:p w:rsidR="00EB0E1A" w:rsidRDefault="00EB0E1A" w:rsidP="0073460E">
            <w:r w:rsidRPr="00CE3F64">
              <w:t>Preparations listed in the Drug tariff</w:t>
            </w:r>
          </w:p>
          <w:p w:rsidR="00CE3F64" w:rsidRDefault="00CE3F64" w:rsidP="00CE3F64">
            <w:pPr>
              <w:rPr>
                <w:rFonts w:cs="Arial"/>
              </w:rPr>
            </w:pPr>
            <w:r w:rsidRPr="00074D47">
              <w:rPr>
                <w:rFonts w:cs="Arial"/>
                <w:b/>
                <w:sz w:val="20"/>
                <w:szCs w:val="20"/>
              </w:rPr>
              <w:t>Hover the mouse over the £ sign for DT prices</w:t>
            </w:r>
          </w:p>
          <w:p w:rsidR="00CE3F64" w:rsidRPr="00CE3F64" w:rsidRDefault="00CE3F64" w:rsidP="0073460E"/>
        </w:tc>
        <w:tc>
          <w:tcPr>
            <w:tcW w:w="5528" w:type="dxa"/>
            <w:gridSpan w:val="2"/>
          </w:tcPr>
          <w:p w:rsidR="00EB0E1A" w:rsidRPr="00CE3F64" w:rsidRDefault="00EF6B49" w:rsidP="00CE3F64">
            <w:hyperlink w:anchor="_References" w:tooltip="Drugs listed in Part VIIIA of the Drug Tariff are NOT SPECIALS. These state the price to be charged if the prescription is dispensed that month (prices reviewed monthly.) This means that these drugs are charged at a fixed price." w:history="1">
              <w:r w:rsidR="00EB0E1A" w:rsidRPr="00CE3F64">
                <w:rPr>
                  <w:rStyle w:val="Hyperlink"/>
                  <w:b/>
                </w:rPr>
                <w:t>Part VIIIA (hover the mouse here for more info):</w:t>
              </w:r>
            </w:hyperlink>
          </w:p>
        </w:tc>
        <w:tc>
          <w:tcPr>
            <w:tcW w:w="1508" w:type="dxa"/>
          </w:tcPr>
          <w:p w:rsidR="00EB0E1A" w:rsidRPr="00CE3F64" w:rsidRDefault="00CE3F64" w:rsidP="0073460E">
            <w:r w:rsidRPr="00CE3F64">
              <w:rPr>
                <w:rFonts w:cs="Arial"/>
                <w:b/>
              </w:rPr>
              <w:t>DT price</w:t>
            </w:r>
          </w:p>
        </w:tc>
      </w:tr>
      <w:tr w:rsidR="00EB0E1A" w:rsidRPr="0041272F" w:rsidTr="00CE3F64">
        <w:trPr>
          <w:trHeight w:val="278"/>
        </w:trPr>
        <w:tc>
          <w:tcPr>
            <w:tcW w:w="1980" w:type="dxa"/>
            <w:vMerge/>
            <w:shd w:val="clear" w:color="auto" w:fill="00B0F0"/>
          </w:tcPr>
          <w:p w:rsidR="00EB0E1A" w:rsidRPr="00CE3F64" w:rsidRDefault="00EB0E1A" w:rsidP="0073460E"/>
        </w:tc>
        <w:tc>
          <w:tcPr>
            <w:tcW w:w="5528" w:type="dxa"/>
            <w:gridSpan w:val="2"/>
          </w:tcPr>
          <w:p w:rsidR="00EB0E1A" w:rsidRPr="00CE3F64" w:rsidRDefault="00CE3F64" w:rsidP="00FA2BAA">
            <w:pPr>
              <w:rPr>
                <w:b/>
              </w:rPr>
            </w:pPr>
            <w:r w:rsidRPr="00CE3F64">
              <w:t>Losartan 12.5mg, 25mg,50mg, 100mg tablets</w:t>
            </w:r>
          </w:p>
        </w:tc>
        <w:tc>
          <w:tcPr>
            <w:tcW w:w="1508" w:type="dxa"/>
          </w:tcPr>
          <w:p w:rsidR="00EB0E1A" w:rsidRPr="00CE3F64" w:rsidRDefault="00EF6B49" w:rsidP="00CE3F64">
            <w:pPr>
              <w:jc w:val="center"/>
              <w:rPr>
                <w:b/>
              </w:rPr>
            </w:pPr>
            <w:hyperlink w:anchor="_Losartan" w:tooltip="Cost for 28 tablets: 12.5mg (£3.09), 25mg (£3.28), 50mg (£2.07), 100mg (£1.95)" w:history="1">
              <w:r w:rsidR="00CE3F64" w:rsidRPr="000E0618">
                <w:rPr>
                  <w:rStyle w:val="Hyperlink"/>
                  <w:b/>
                </w:rPr>
                <w:t>£</w:t>
              </w:r>
            </w:hyperlink>
          </w:p>
        </w:tc>
      </w:tr>
      <w:tr w:rsidR="00EB0E1A" w:rsidRPr="0041272F" w:rsidTr="00CE3F64">
        <w:trPr>
          <w:trHeight w:val="278"/>
        </w:trPr>
        <w:tc>
          <w:tcPr>
            <w:tcW w:w="1980" w:type="dxa"/>
            <w:vMerge/>
            <w:shd w:val="clear" w:color="auto" w:fill="00B0F0"/>
          </w:tcPr>
          <w:p w:rsidR="00EB0E1A" w:rsidRPr="00CE3F64" w:rsidRDefault="00EB0E1A" w:rsidP="0073460E"/>
        </w:tc>
        <w:tc>
          <w:tcPr>
            <w:tcW w:w="5528" w:type="dxa"/>
            <w:gridSpan w:val="2"/>
          </w:tcPr>
          <w:p w:rsidR="00EB0E1A" w:rsidRPr="00CE3F64" w:rsidRDefault="00CE3F64" w:rsidP="000E0618">
            <w:pPr>
              <w:rPr>
                <w:b/>
              </w:rPr>
            </w:pPr>
            <w:r w:rsidRPr="00CE3F64">
              <w:t xml:space="preserve">Losartan/hydrochlorothiazide </w:t>
            </w:r>
            <w:r w:rsidR="000E0618" w:rsidRPr="00CE3F64">
              <w:t>50mg/12.5mg</w:t>
            </w:r>
            <w:r w:rsidR="000E0618">
              <w:t>,</w:t>
            </w:r>
            <w:r w:rsidR="000E0618" w:rsidRPr="00CE3F64">
              <w:t xml:space="preserve"> </w:t>
            </w:r>
            <w:r w:rsidRPr="00CE3F64">
              <w:t>100mg/12.5mg, 100mg/25mg, tablets</w:t>
            </w:r>
          </w:p>
        </w:tc>
        <w:tc>
          <w:tcPr>
            <w:tcW w:w="1508" w:type="dxa"/>
          </w:tcPr>
          <w:p w:rsidR="00EB0E1A" w:rsidRPr="00CE3F64" w:rsidRDefault="00EF6B49" w:rsidP="00CE3F64">
            <w:pPr>
              <w:jc w:val="center"/>
            </w:pPr>
            <w:hyperlink w:anchor="_Losartan" w:tooltip="Cost for 28 tablets: 50mg/12.5mg (£1.21), 100mg/12.5mg (£11.89), 100mg/25mg (£1.69)" w:history="1">
              <w:r w:rsidR="00CE3F64" w:rsidRPr="000E0618">
                <w:rPr>
                  <w:rStyle w:val="Hyperlink"/>
                  <w:b/>
                </w:rPr>
                <w:t>£</w:t>
              </w:r>
            </w:hyperlink>
          </w:p>
        </w:tc>
      </w:tr>
      <w:tr w:rsidR="00EB0E1A" w:rsidRPr="0041272F" w:rsidTr="00CE3F64">
        <w:trPr>
          <w:trHeight w:val="319"/>
        </w:trPr>
        <w:tc>
          <w:tcPr>
            <w:tcW w:w="1980" w:type="dxa"/>
            <w:vMerge/>
            <w:shd w:val="clear" w:color="auto" w:fill="00B0F0"/>
          </w:tcPr>
          <w:p w:rsidR="00EB0E1A" w:rsidRPr="00CE3F64" w:rsidRDefault="00EB0E1A" w:rsidP="0073460E"/>
        </w:tc>
        <w:tc>
          <w:tcPr>
            <w:tcW w:w="5528" w:type="dxa"/>
            <w:gridSpan w:val="2"/>
          </w:tcPr>
          <w:p w:rsidR="00EB0E1A" w:rsidRPr="00CE3F64" w:rsidRDefault="00EF6B49" w:rsidP="00CE3F64">
            <w:pPr>
              <w:rPr>
                <w:b/>
              </w:rPr>
            </w:pPr>
            <w:hyperlink w:anchor="_References" w:tooltip="Specials drugs listed in Part VIIIB of the Drug Tariff state the price to be charged if the prescription is dispensed that month (prices reviewed monthly.) Specials not listed in this part are NOT charged at a fixed price and can be very expensive." w:history="1">
              <w:r w:rsidR="00CE3F64" w:rsidRPr="00CE3F64">
                <w:rPr>
                  <w:rStyle w:val="Hyperlink"/>
                  <w:b/>
                </w:rPr>
                <w:t>Part VIIIB (hover the mouse here for more info):</w:t>
              </w:r>
            </w:hyperlink>
          </w:p>
        </w:tc>
        <w:tc>
          <w:tcPr>
            <w:tcW w:w="1508" w:type="dxa"/>
          </w:tcPr>
          <w:p w:rsidR="00EB0E1A" w:rsidRPr="00CE3F64" w:rsidRDefault="00CE3F64" w:rsidP="0073460E">
            <w:r w:rsidRPr="00CE3F64">
              <w:rPr>
                <w:rFonts w:cs="Arial"/>
                <w:b/>
              </w:rPr>
              <w:t>DT price</w:t>
            </w:r>
          </w:p>
        </w:tc>
      </w:tr>
      <w:tr w:rsidR="00EB0E1A" w:rsidRPr="0041272F" w:rsidTr="00CE3F64">
        <w:trPr>
          <w:trHeight w:val="278"/>
        </w:trPr>
        <w:tc>
          <w:tcPr>
            <w:tcW w:w="1980" w:type="dxa"/>
            <w:vMerge/>
            <w:shd w:val="clear" w:color="auto" w:fill="00B0F0"/>
          </w:tcPr>
          <w:p w:rsidR="00EB0E1A" w:rsidRPr="00CE3F64" w:rsidRDefault="00EB0E1A" w:rsidP="0073460E"/>
        </w:tc>
        <w:tc>
          <w:tcPr>
            <w:tcW w:w="5528" w:type="dxa"/>
            <w:gridSpan w:val="2"/>
          </w:tcPr>
          <w:p w:rsidR="00EB0E1A" w:rsidRPr="00CE3F64" w:rsidRDefault="00CE3F64" w:rsidP="00EB0E1A">
            <w:pPr>
              <w:rPr>
                <w:b/>
              </w:rPr>
            </w:pPr>
            <w:r w:rsidRPr="00CE3F64">
              <w:t>50mg/5ml oral suspension</w:t>
            </w:r>
          </w:p>
        </w:tc>
        <w:tc>
          <w:tcPr>
            <w:tcW w:w="1508" w:type="dxa"/>
          </w:tcPr>
          <w:p w:rsidR="00EB0E1A" w:rsidRDefault="00EF6B49" w:rsidP="00CE3F64">
            <w:pPr>
              <w:jc w:val="center"/>
              <w:rPr>
                <w:sz w:val="24"/>
                <w:szCs w:val="24"/>
              </w:rPr>
            </w:pPr>
            <w:hyperlink w:anchor="_Losartan" w:tooltip="Cost for first 150ml is £52.35. Cost for each ml thereafter is £0.01" w:history="1">
              <w:r w:rsidR="00CE3F64" w:rsidRPr="00372872">
                <w:rPr>
                  <w:rStyle w:val="Hyperlink"/>
                  <w:b/>
                </w:rPr>
                <w:t>£</w:t>
              </w:r>
            </w:hyperlink>
          </w:p>
        </w:tc>
      </w:tr>
      <w:tr w:rsidR="00A01009" w:rsidRPr="0041272F" w:rsidTr="00441FEE">
        <w:tc>
          <w:tcPr>
            <w:tcW w:w="9016" w:type="dxa"/>
            <w:gridSpan w:val="4"/>
            <w:shd w:val="clear" w:color="auto" w:fill="FFFF00"/>
          </w:tcPr>
          <w:p w:rsidR="00A01009" w:rsidRPr="00372872" w:rsidRDefault="00A01009" w:rsidP="00A01009">
            <w:pPr>
              <w:pStyle w:val="Heading2"/>
              <w:rPr>
                <w:b w:val="0"/>
                <w:sz w:val="22"/>
                <w:szCs w:val="22"/>
              </w:rPr>
            </w:pPr>
            <w:r w:rsidRPr="00372872">
              <w:rPr>
                <w:b w:val="0"/>
                <w:sz w:val="22"/>
                <w:szCs w:val="22"/>
              </w:rPr>
              <w:t>Administration in swallowing difficulties</w:t>
            </w:r>
          </w:p>
        </w:tc>
      </w:tr>
      <w:tr w:rsidR="00A01009" w:rsidRPr="0041272F" w:rsidTr="00A01009">
        <w:tc>
          <w:tcPr>
            <w:tcW w:w="9016" w:type="dxa"/>
            <w:gridSpan w:val="4"/>
            <w:shd w:val="clear" w:color="auto" w:fill="auto"/>
          </w:tcPr>
          <w:p w:rsidR="00A01009" w:rsidRPr="00372872" w:rsidRDefault="00A01009" w:rsidP="00831035">
            <w:r w:rsidRPr="00372872">
              <w:t>Crush tablets and mix with water immediately prior to administration</w:t>
            </w:r>
            <w:r w:rsidR="00607E03" w:rsidRPr="00372872">
              <w:t xml:space="preserve"> (unlicensed)</w:t>
            </w:r>
            <w:r w:rsidRPr="00372872">
              <w:rPr>
                <w:vertAlign w:val="superscript"/>
              </w:rPr>
              <w:t>1</w:t>
            </w:r>
            <w:r w:rsidRPr="00372872">
              <w:t xml:space="preserve"> </w:t>
            </w:r>
          </w:p>
          <w:p w:rsidR="00A01009" w:rsidRPr="00372872" w:rsidRDefault="00A01009" w:rsidP="00831035"/>
          <w:p w:rsidR="00A01009" w:rsidRPr="00372872" w:rsidRDefault="00A01009" w:rsidP="00831035">
            <w:r w:rsidRPr="00372872">
              <w:t>If route of administration is likely to be long-term, consider changing to irbesartan due to lack of data and poor dispersion characteristics</w:t>
            </w:r>
            <w:r w:rsidRPr="00372872">
              <w:rPr>
                <w:vertAlign w:val="superscript"/>
              </w:rPr>
              <w:t>1</w:t>
            </w:r>
          </w:p>
        </w:tc>
      </w:tr>
      <w:tr w:rsidR="00A01009" w:rsidRPr="0041272F" w:rsidTr="00A01009">
        <w:tc>
          <w:tcPr>
            <w:tcW w:w="9016" w:type="dxa"/>
            <w:gridSpan w:val="4"/>
            <w:shd w:val="clear" w:color="auto" w:fill="FFC000"/>
          </w:tcPr>
          <w:p w:rsidR="00A01009" w:rsidRPr="00372872" w:rsidRDefault="00A01009" w:rsidP="00831035">
            <w:r w:rsidRPr="00372872">
              <w:t>Administration in enteral feeding tube</w:t>
            </w:r>
          </w:p>
        </w:tc>
      </w:tr>
      <w:tr w:rsidR="00A01009" w:rsidRPr="0041272F" w:rsidTr="00A01009">
        <w:tc>
          <w:tcPr>
            <w:tcW w:w="9016" w:type="dxa"/>
            <w:gridSpan w:val="4"/>
            <w:shd w:val="clear" w:color="auto" w:fill="auto"/>
          </w:tcPr>
          <w:p w:rsidR="00A01009" w:rsidRPr="00372872" w:rsidRDefault="00A01009" w:rsidP="0073460E">
            <w:r w:rsidRPr="00372872">
              <w:t xml:space="preserve">Crush the tablet </w:t>
            </w:r>
            <w:r w:rsidR="00607E03" w:rsidRPr="00372872">
              <w:t xml:space="preserve">(unlicensed) </w:t>
            </w:r>
            <w:r w:rsidR="001577C9" w:rsidRPr="00372872">
              <w:t>in a mortar and mix</w:t>
            </w:r>
            <w:r w:rsidRPr="00372872">
              <w:t xml:space="preserve"> in a few ml of water to make a paste. Add up to 15ml water and mix thoroughly. Draw into syringe and flush down the feeding tube. Add 15ml to the mortar and stir to collect any remaining drug. Draw this fluid into a syringe and flush down the feeding tube</w:t>
            </w:r>
            <w:r w:rsidRPr="00372872">
              <w:rPr>
                <w:vertAlign w:val="superscript"/>
              </w:rPr>
              <w:t>1</w:t>
            </w:r>
            <w:r w:rsidRPr="00372872">
              <w:t>.</w:t>
            </w:r>
          </w:p>
          <w:p w:rsidR="0064114F" w:rsidRPr="00372872" w:rsidRDefault="0064114F" w:rsidP="0073460E"/>
          <w:p w:rsidR="0064114F" w:rsidRPr="00372872" w:rsidRDefault="0064114F" w:rsidP="0073460E">
            <w:r w:rsidRPr="00372872">
              <w:t>If route of administration is likely to be long-term, consider changing to irbesartan due to lack of data and poor dispersion characteristics</w:t>
            </w:r>
            <w:r w:rsidRPr="00372872">
              <w:rPr>
                <w:vertAlign w:val="superscript"/>
              </w:rPr>
              <w:t>1</w:t>
            </w:r>
          </w:p>
        </w:tc>
      </w:tr>
      <w:tr w:rsidR="00A01009" w:rsidRPr="0041272F" w:rsidTr="00A01009">
        <w:tc>
          <w:tcPr>
            <w:tcW w:w="9016" w:type="dxa"/>
            <w:gridSpan w:val="4"/>
            <w:shd w:val="clear" w:color="auto" w:fill="FF0000"/>
          </w:tcPr>
          <w:p w:rsidR="00A01009" w:rsidRPr="00372872" w:rsidRDefault="00A01009" w:rsidP="0073460E">
            <w:r w:rsidRPr="00372872">
              <w:t>Comments</w:t>
            </w:r>
          </w:p>
        </w:tc>
      </w:tr>
      <w:tr w:rsidR="00A01009" w:rsidRPr="0041272F" w:rsidTr="00A01009">
        <w:tc>
          <w:tcPr>
            <w:tcW w:w="9016" w:type="dxa"/>
            <w:gridSpan w:val="4"/>
            <w:shd w:val="clear" w:color="auto" w:fill="auto"/>
          </w:tcPr>
          <w:p w:rsidR="00372872" w:rsidRPr="00372872" w:rsidRDefault="00A65FAC" w:rsidP="00A65FAC">
            <w:r w:rsidRPr="00372872">
              <w:t>No additional information was obtained from MSD for</w:t>
            </w:r>
            <w:r w:rsidR="00A01009" w:rsidRPr="00372872">
              <w:t xml:space="preserve"> Cozaar or Cozaar-Comp (losartan/hydrochlorothiazide)</w:t>
            </w:r>
            <w:r w:rsidR="0063717A" w:rsidRPr="00372872">
              <w:rPr>
                <w:vertAlign w:val="superscript"/>
              </w:rPr>
              <w:t xml:space="preserve"> 2,3</w:t>
            </w:r>
            <w:r w:rsidR="00A01009" w:rsidRPr="00372872">
              <w:t xml:space="preserve">. </w:t>
            </w:r>
          </w:p>
          <w:p w:rsidR="00372872" w:rsidRPr="00372872" w:rsidRDefault="00372872" w:rsidP="00A65FAC"/>
          <w:p w:rsidR="00A01009" w:rsidRPr="00372872" w:rsidRDefault="00A65FAC" w:rsidP="00A65FAC">
            <w:r w:rsidRPr="00372872">
              <w:t xml:space="preserve">Cozaar oral suspension was discontinued </w:t>
            </w:r>
            <w:r w:rsidR="00C874C2" w:rsidRPr="00372872">
              <w:t>July 2019.</w:t>
            </w:r>
          </w:p>
        </w:tc>
      </w:tr>
      <w:tr w:rsidR="00D631A9" w:rsidRPr="0041272F" w:rsidTr="00441FEE">
        <w:tc>
          <w:tcPr>
            <w:tcW w:w="9016" w:type="dxa"/>
            <w:gridSpan w:val="4"/>
          </w:tcPr>
          <w:p w:rsidR="00D631A9" w:rsidRPr="00766C97" w:rsidRDefault="00D631A9" w:rsidP="00D631A9">
            <w:pPr>
              <w:pStyle w:val="Heading2"/>
              <w:rPr>
                <w:b w:val="0"/>
                <w:sz w:val="22"/>
                <w:szCs w:val="22"/>
              </w:rPr>
            </w:pPr>
            <w:bookmarkStart w:id="2" w:name="_References"/>
            <w:bookmarkEnd w:id="2"/>
            <w:r w:rsidRPr="00766C97">
              <w:rPr>
                <w:b w:val="0"/>
                <w:sz w:val="22"/>
                <w:szCs w:val="22"/>
              </w:rPr>
              <w:t>References</w:t>
            </w:r>
          </w:p>
          <w:p w:rsidR="00D631A9" w:rsidRPr="00766C97" w:rsidRDefault="00D631A9" w:rsidP="00372872">
            <w:pPr>
              <w:pStyle w:val="ListParagraph"/>
              <w:numPr>
                <w:ilvl w:val="0"/>
                <w:numId w:val="1"/>
              </w:numPr>
              <w:ind w:left="313" w:hanging="313"/>
            </w:pPr>
            <w:r w:rsidRPr="00766C97">
              <w:t>White R and Bradnam V. Handbook of Drug Administration via enteral feeding tubes. 3</w:t>
            </w:r>
            <w:r w:rsidRPr="00766C97">
              <w:rPr>
                <w:vertAlign w:val="superscript"/>
              </w:rPr>
              <w:t>rd</w:t>
            </w:r>
            <w:r w:rsidRPr="00766C97">
              <w:t xml:space="preserve"> edition, 2015. Pharmaceutical Press</w:t>
            </w:r>
          </w:p>
          <w:p w:rsidR="00D631A9" w:rsidRPr="00766C97" w:rsidRDefault="00D631A9" w:rsidP="00372872">
            <w:pPr>
              <w:pStyle w:val="ListParagraph"/>
              <w:numPr>
                <w:ilvl w:val="0"/>
                <w:numId w:val="1"/>
              </w:numPr>
              <w:ind w:left="313" w:hanging="313"/>
            </w:pPr>
            <w:r w:rsidRPr="00766C97">
              <w:t xml:space="preserve">Email correspondence on file: Cozaar (email reference: gb19-04000). </w:t>
            </w:r>
            <w:r w:rsidR="00300289" w:rsidRPr="002C1C09">
              <w:t xml:space="preserve">Merck </w:t>
            </w:r>
            <w:r w:rsidR="00300289">
              <w:t>Sharp &amp; Dohme</w:t>
            </w:r>
            <w:r w:rsidR="00300289" w:rsidRPr="00766C97">
              <w:t xml:space="preserve"> </w:t>
            </w:r>
            <w:r w:rsidRPr="00766C97">
              <w:t>Medicines information. Received 26 April 2019</w:t>
            </w:r>
          </w:p>
          <w:p w:rsidR="00D631A9" w:rsidRPr="00766C97" w:rsidRDefault="00D631A9" w:rsidP="00372872">
            <w:pPr>
              <w:pStyle w:val="ListParagraph"/>
              <w:numPr>
                <w:ilvl w:val="0"/>
                <w:numId w:val="1"/>
              </w:numPr>
              <w:ind w:left="313" w:hanging="313"/>
            </w:pPr>
            <w:r w:rsidRPr="00766C97">
              <w:t xml:space="preserve">Email correspondence on file: Cozaar-Comp (email reference: gb19-04000). </w:t>
            </w:r>
            <w:r w:rsidR="00300289" w:rsidRPr="002C1C09">
              <w:t xml:space="preserve">Merck </w:t>
            </w:r>
            <w:r w:rsidR="00300289">
              <w:t>Sharp &amp; Dohme</w:t>
            </w:r>
            <w:r w:rsidRPr="00766C97">
              <w:t xml:space="preserve"> Medicines information. Received 25 April 2019</w:t>
            </w:r>
          </w:p>
          <w:p w:rsidR="00D631A9" w:rsidRPr="005E0222" w:rsidRDefault="00D631A9" w:rsidP="00372872">
            <w:pPr>
              <w:pStyle w:val="ListParagraph"/>
              <w:numPr>
                <w:ilvl w:val="0"/>
                <w:numId w:val="1"/>
              </w:numPr>
              <w:ind w:left="313" w:hanging="313"/>
              <w:rPr>
                <w:sz w:val="24"/>
                <w:szCs w:val="24"/>
              </w:rPr>
            </w:pPr>
            <w:r w:rsidRPr="00766C97">
              <w:t>Drug Tariff May 2019</w:t>
            </w:r>
            <w:r w:rsidR="0064114F">
              <w:t xml:space="preserve"> </w:t>
            </w:r>
            <w:hyperlink r:id="rId8" w:history="1">
              <w:r w:rsidRPr="00766C97">
                <w:rPr>
                  <w:rStyle w:val="Hyperlink"/>
                </w:rPr>
                <w:t>https://www.nhsbsa.nhs.uk/pharmacies-gp-practices-and-appliance-contractors/drug-tariff</w:t>
              </w:r>
            </w:hyperlink>
            <w:r w:rsidR="0064114F">
              <w:rPr>
                <w:rStyle w:val="Hyperlink"/>
              </w:rPr>
              <w:t xml:space="preserve"> </w:t>
            </w:r>
            <w:r w:rsidR="0064114F">
              <w:t>date accessed 23 May 2019</w:t>
            </w:r>
          </w:p>
        </w:tc>
      </w:tr>
      <w:tr w:rsidR="00A21E45" w:rsidRPr="0041272F" w:rsidTr="0073460E">
        <w:tc>
          <w:tcPr>
            <w:tcW w:w="9016" w:type="dxa"/>
            <w:gridSpan w:val="4"/>
          </w:tcPr>
          <w:p w:rsidR="00A21E45" w:rsidRPr="00766C97" w:rsidRDefault="00DE3FC9" w:rsidP="0073460E">
            <w:r w:rsidRPr="00F7375C">
              <w:rPr>
                <w:rFonts w:cs="Arial"/>
                <w:b/>
              </w:rPr>
              <w:t xml:space="preserve">Please note: </w:t>
            </w:r>
            <w:r>
              <w:rPr>
                <w:rFonts w:cs="Arial"/>
                <w:b/>
              </w:rPr>
              <w:t>full instructions should be provided to the person administering the medicine. This is guidance only and should not determine individualised care.</w:t>
            </w:r>
          </w:p>
        </w:tc>
      </w:tr>
      <w:tr w:rsidR="00A21E45" w:rsidRPr="0041272F" w:rsidTr="002C1C09">
        <w:trPr>
          <w:trHeight w:val="503"/>
        </w:trPr>
        <w:tc>
          <w:tcPr>
            <w:tcW w:w="9016" w:type="dxa"/>
            <w:gridSpan w:val="4"/>
          </w:tcPr>
          <w:p w:rsidR="005459D5" w:rsidRPr="002C1C09" w:rsidRDefault="005459D5" w:rsidP="0073460E">
            <w:r w:rsidRPr="002C1C09">
              <w:t>Author: Vicki Kong, QIPP Programme Pharmacist, BHR CCGs</w:t>
            </w:r>
          </w:p>
          <w:p w:rsidR="00A21E45" w:rsidRPr="002C1C09" w:rsidRDefault="00A21E45" w:rsidP="002C1C09">
            <w:r w:rsidRPr="002C1C09">
              <w:t>Approved by BHR CCGs Area Prescribing sub-Committees:</w:t>
            </w:r>
            <w:r w:rsidR="00C874C2">
              <w:t xml:space="preserve"> July 2019</w:t>
            </w:r>
          </w:p>
        </w:tc>
      </w:tr>
      <w:tr w:rsidR="002C1C09" w:rsidRPr="0041272F" w:rsidTr="002C1C09">
        <w:trPr>
          <w:trHeight w:val="225"/>
        </w:trPr>
        <w:tc>
          <w:tcPr>
            <w:tcW w:w="4508" w:type="dxa"/>
            <w:gridSpan w:val="2"/>
          </w:tcPr>
          <w:p w:rsidR="002C1C09" w:rsidRDefault="002C1C09" w:rsidP="002C1C09">
            <w:pPr>
              <w:pStyle w:val="Header"/>
              <w:tabs>
                <w:tab w:val="clear" w:pos="4513"/>
                <w:tab w:val="clear" w:pos="9026"/>
              </w:tabs>
            </w:pPr>
            <w:r>
              <w:t>Review date:</w:t>
            </w:r>
            <w:r w:rsidR="00C874C2">
              <w:t xml:space="preserve"> July 2021</w:t>
            </w:r>
          </w:p>
        </w:tc>
        <w:tc>
          <w:tcPr>
            <w:tcW w:w="4508" w:type="dxa"/>
            <w:gridSpan w:val="2"/>
          </w:tcPr>
          <w:p w:rsidR="002C1C09" w:rsidRPr="002C1C09" w:rsidRDefault="002C1C09" w:rsidP="002C1C09">
            <w:r w:rsidRPr="002C1C09">
              <w:t>Version: 1</w:t>
            </w:r>
          </w:p>
        </w:tc>
      </w:tr>
    </w:tbl>
    <w:p w:rsidR="006B5DD9" w:rsidRDefault="006B5DD9"/>
    <w:p w:rsidR="00104B1F" w:rsidRDefault="00104B1F"/>
    <w:p w:rsidR="00104B1F" w:rsidRDefault="00104B1F"/>
    <w:sectPr w:rsidR="00104B1F" w:rsidSect="00E3055A">
      <w:headerReference w:type="default" r:id="rId9"/>
      <w:footerReference w:type="default" r:id="rId10"/>
      <w:headerReference w:type="first" r:id="rId11"/>
      <w:footerReference w:type="first" r:id="rId1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618" w:rsidRDefault="000E0618" w:rsidP="00F72AFB">
      <w:r>
        <w:separator/>
      </w:r>
    </w:p>
  </w:endnote>
  <w:endnote w:type="continuationSeparator" w:id="0">
    <w:p w:rsidR="000E0618" w:rsidRDefault="000E0618" w:rsidP="00F72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618" w:rsidRDefault="000E0618">
    <w:pPr>
      <w:pStyle w:val="Footer"/>
    </w:pPr>
    <w:r>
      <w:rPr>
        <w:noProof/>
        <w:lang w:eastAsia="en-GB"/>
      </w:rPr>
      <w:drawing>
        <wp:anchor distT="0" distB="0" distL="114300" distR="114300" simplePos="0" relativeHeight="251659264" behindDoc="1" locked="0" layoutInCell="1" allowOverlap="1">
          <wp:simplePos x="0" y="0"/>
          <wp:positionH relativeFrom="page">
            <wp:posOffset>1047750</wp:posOffset>
          </wp:positionH>
          <wp:positionV relativeFrom="page">
            <wp:posOffset>9725025</wp:posOffset>
          </wp:positionV>
          <wp:extent cx="6477000" cy="10763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618" w:rsidRDefault="000E0618">
    <w:pPr>
      <w:pStyle w:val="Footer"/>
    </w:pPr>
    <w:r>
      <w:rPr>
        <w:noProof/>
        <w:lang w:eastAsia="en-GB"/>
      </w:rPr>
      <w:drawing>
        <wp:anchor distT="0" distB="0" distL="114300" distR="114300" simplePos="0" relativeHeight="251663360" behindDoc="1" locked="0" layoutInCell="1" allowOverlap="1" wp14:anchorId="1DD0C266" wp14:editId="6CBE781A">
          <wp:simplePos x="0" y="0"/>
          <wp:positionH relativeFrom="page">
            <wp:align>right</wp:align>
          </wp:positionH>
          <wp:positionV relativeFrom="bottomMargin">
            <wp:align>top</wp:align>
          </wp:positionV>
          <wp:extent cx="6477000" cy="13811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618" w:rsidRDefault="000E0618" w:rsidP="00F72AFB">
      <w:r>
        <w:separator/>
      </w:r>
    </w:p>
  </w:footnote>
  <w:footnote w:type="continuationSeparator" w:id="0">
    <w:p w:rsidR="000E0618" w:rsidRDefault="000E0618" w:rsidP="00F72A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618" w:rsidRDefault="000E0618">
    <w:pPr>
      <w:pStyle w:val="Header"/>
    </w:pPr>
    <w:r>
      <w:rPr>
        <w:noProof/>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-448945</wp:posOffset>
          </wp:positionV>
          <wp:extent cx="1943740" cy="914400"/>
          <wp:effectExtent l="0" t="0" r="0" b="0"/>
          <wp:wrapNone/>
          <wp:docPr id="2" name="Picture 2" descr="BH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HR logo"/>
                  <pic:cNvPicPr>
                    <a:picLocks noChangeAspect="1" noChangeArrowheads="1"/>
                  </pic:cNvPicPr>
                </pic:nvPicPr>
                <pic:blipFill>
                  <a:blip r:embed="rId1">
                    <a:extLst>
                      <a:ext uri="{28A0092B-C50C-407E-A947-70E740481C1C}">
                        <a14:useLocalDpi xmlns:a14="http://schemas.microsoft.com/office/drawing/2010/main" val="0"/>
                      </a:ext>
                    </a:extLst>
                  </a:blip>
                  <a:srcRect r="3391"/>
                  <a:stretch>
                    <a:fillRect/>
                  </a:stretch>
                </pic:blipFill>
                <pic:spPr bwMode="auto">
                  <a:xfrm>
                    <a:off x="0" y="0"/>
                    <a:ext cx="1943740" cy="914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618" w:rsidRDefault="000E0618" w:rsidP="00DE3FC9">
    <w:pPr>
      <w:pStyle w:val="Header"/>
      <w:tabs>
        <w:tab w:val="clear" w:pos="4513"/>
        <w:tab w:val="clear" w:pos="9026"/>
        <w:tab w:val="left" w:pos="7875"/>
      </w:tabs>
    </w:pPr>
    <w:r>
      <w:rPr>
        <w:noProof/>
        <w:lang w:eastAsia="en-GB"/>
      </w:rPr>
      <w:drawing>
        <wp:anchor distT="0" distB="0" distL="114300" distR="114300" simplePos="0" relativeHeight="251661312" behindDoc="0" locked="0" layoutInCell="1" allowOverlap="1" wp14:anchorId="580D1FBC" wp14:editId="0A8764A3">
          <wp:simplePos x="0" y="0"/>
          <wp:positionH relativeFrom="margin">
            <wp:align>right</wp:align>
          </wp:positionH>
          <wp:positionV relativeFrom="paragraph">
            <wp:posOffset>-448310</wp:posOffset>
          </wp:positionV>
          <wp:extent cx="1943740" cy="914400"/>
          <wp:effectExtent l="0" t="0" r="0" b="0"/>
          <wp:wrapNone/>
          <wp:docPr id="4" name="Picture 4" descr="BH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HR logo"/>
                  <pic:cNvPicPr>
                    <a:picLocks noChangeAspect="1" noChangeArrowheads="1"/>
                  </pic:cNvPicPr>
                </pic:nvPicPr>
                <pic:blipFill>
                  <a:blip r:embed="rId1">
                    <a:extLst>
                      <a:ext uri="{28A0092B-C50C-407E-A947-70E740481C1C}">
                        <a14:useLocalDpi xmlns:a14="http://schemas.microsoft.com/office/drawing/2010/main" val="0"/>
                      </a:ext>
                    </a:extLst>
                  </a:blip>
                  <a:srcRect r="3391"/>
                  <a:stretch>
                    <a:fillRect/>
                  </a:stretch>
                </pic:blipFill>
                <pic:spPr bwMode="auto">
                  <a:xfrm>
                    <a:off x="0" y="0"/>
                    <a:ext cx="1943740" cy="914400"/>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96E52"/>
    <w:multiLevelType w:val="hybridMultilevel"/>
    <w:tmpl w:val="F0C08102"/>
    <w:lvl w:ilvl="0" w:tplc="B4C6877C">
      <w:start w:val="1"/>
      <w:numFmt w:val="decimal"/>
      <w:lvlText w:val="%1."/>
      <w:lvlJc w:val="left"/>
      <w:pPr>
        <w:ind w:left="720" w:hanging="360"/>
      </w:pPr>
      <w:rPr>
        <w:rFonts w:ascii="Arial" w:eastAsiaTheme="minorHAnsi" w:hAnsi="Arial"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D61A0C"/>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C46829"/>
    <w:multiLevelType w:val="hybridMultilevel"/>
    <w:tmpl w:val="32381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C8052F"/>
    <w:multiLevelType w:val="hybridMultilevel"/>
    <w:tmpl w:val="32DCA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862FBA"/>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6246624"/>
    <w:multiLevelType w:val="hybridMultilevel"/>
    <w:tmpl w:val="1F16E1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697B7A"/>
    <w:multiLevelType w:val="hybridMultilevel"/>
    <w:tmpl w:val="C3D8AC20"/>
    <w:lvl w:ilvl="0" w:tplc="E52C62A4">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BC63F6"/>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E9D0155"/>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1804152"/>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0570113"/>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9914DE7"/>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0CB06B3"/>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4251992"/>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EBF3919"/>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2"/>
  </w:num>
  <w:num w:numId="3">
    <w:abstractNumId w:val="2"/>
  </w:num>
  <w:num w:numId="4">
    <w:abstractNumId w:val="10"/>
  </w:num>
  <w:num w:numId="5">
    <w:abstractNumId w:val="13"/>
  </w:num>
  <w:num w:numId="6">
    <w:abstractNumId w:val="7"/>
  </w:num>
  <w:num w:numId="7">
    <w:abstractNumId w:val="3"/>
  </w:num>
  <w:num w:numId="8">
    <w:abstractNumId w:val="8"/>
  </w:num>
  <w:num w:numId="9">
    <w:abstractNumId w:val="9"/>
  </w:num>
  <w:num w:numId="10">
    <w:abstractNumId w:val="4"/>
  </w:num>
  <w:num w:numId="11">
    <w:abstractNumId w:val="11"/>
  </w:num>
  <w:num w:numId="12">
    <w:abstractNumId w:val="1"/>
  </w:num>
  <w:num w:numId="13">
    <w:abstractNumId w:val="14"/>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ocumentProtection w:edit="forms" w:enforcement="1" w:cryptProviderType="rsaAES" w:cryptAlgorithmClass="hash" w:cryptAlgorithmType="typeAny" w:cryptAlgorithmSid="14" w:cryptSpinCount="100000" w:hash="+74V2IsgMvrqnTTLOaF7yo3Uw42vz94k3jEe3eR4nehWDSHPFK5NbdZqBU5sV+xUTTqDF92H99ggY9al0VfpQA==" w:salt="LyPHilQmjWbK4IcJE1LW+A=="/>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E45"/>
    <w:rsid w:val="0000500C"/>
    <w:rsid w:val="00005DC2"/>
    <w:rsid w:val="0001502A"/>
    <w:rsid w:val="00041371"/>
    <w:rsid w:val="0004211C"/>
    <w:rsid w:val="00043617"/>
    <w:rsid w:val="000760DA"/>
    <w:rsid w:val="00077947"/>
    <w:rsid w:val="000917D0"/>
    <w:rsid w:val="000B0333"/>
    <w:rsid w:val="000C7A55"/>
    <w:rsid w:val="000E0618"/>
    <w:rsid w:val="000F6901"/>
    <w:rsid w:val="000F781D"/>
    <w:rsid w:val="00104B1F"/>
    <w:rsid w:val="00122DD3"/>
    <w:rsid w:val="00126DF3"/>
    <w:rsid w:val="00134D3A"/>
    <w:rsid w:val="001577C9"/>
    <w:rsid w:val="0016036D"/>
    <w:rsid w:val="00160CDD"/>
    <w:rsid w:val="0016214E"/>
    <w:rsid w:val="001865BA"/>
    <w:rsid w:val="00197836"/>
    <w:rsid w:val="001A1B36"/>
    <w:rsid w:val="001C7AFE"/>
    <w:rsid w:val="001D098E"/>
    <w:rsid w:val="001E07CC"/>
    <w:rsid w:val="001E1CC3"/>
    <w:rsid w:val="001F1CC6"/>
    <w:rsid w:val="0020558B"/>
    <w:rsid w:val="00214CBB"/>
    <w:rsid w:val="00222183"/>
    <w:rsid w:val="00234045"/>
    <w:rsid w:val="002342EC"/>
    <w:rsid w:val="002364C6"/>
    <w:rsid w:val="00241478"/>
    <w:rsid w:val="00241ECE"/>
    <w:rsid w:val="0024265C"/>
    <w:rsid w:val="0024651A"/>
    <w:rsid w:val="00252095"/>
    <w:rsid w:val="002671D5"/>
    <w:rsid w:val="002709CC"/>
    <w:rsid w:val="00270B08"/>
    <w:rsid w:val="00272A84"/>
    <w:rsid w:val="002809E0"/>
    <w:rsid w:val="00285D6E"/>
    <w:rsid w:val="002C1C09"/>
    <w:rsid w:val="002D01AD"/>
    <w:rsid w:val="002E0D4E"/>
    <w:rsid w:val="002E1B4E"/>
    <w:rsid w:val="002E5A1D"/>
    <w:rsid w:val="002E6888"/>
    <w:rsid w:val="00300289"/>
    <w:rsid w:val="00320699"/>
    <w:rsid w:val="003413AC"/>
    <w:rsid w:val="00354724"/>
    <w:rsid w:val="00357A02"/>
    <w:rsid w:val="00372872"/>
    <w:rsid w:val="00374E37"/>
    <w:rsid w:val="00376A86"/>
    <w:rsid w:val="00384499"/>
    <w:rsid w:val="0039078E"/>
    <w:rsid w:val="003944A6"/>
    <w:rsid w:val="003B31C2"/>
    <w:rsid w:val="003C1217"/>
    <w:rsid w:val="003C68B4"/>
    <w:rsid w:val="003D10FA"/>
    <w:rsid w:val="003E034C"/>
    <w:rsid w:val="003E23B6"/>
    <w:rsid w:val="003F400B"/>
    <w:rsid w:val="003F638B"/>
    <w:rsid w:val="00402382"/>
    <w:rsid w:val="004037B0"/>
    <w:rsid w:val="00427931"/>
    <w:rsid w:val="00441FEE"/>
    <w:rsid w:val="004561D7"/>
    <w:rsid w:val="004818F1"/>
    <w:rsid w:val="004C2CD3"/>
    <w:rsid w:val="004D2139"/>
    <w:rsid w:val="004D2188"/>
    <w:rsid w:val="004D5974"/>
    <w:rsid w:val="004D5F5F"/>
    <w:rsid w:val="004D7296"/>
    <w:rsid w:val="004E4206"/>
    <w:rsid w:val="004F37B6"/>
    <w:rsid w:val="004F7CC4"/>
    <w:rsid w:val="005004A6"/>
    <w:rsid w:val="00506B6B"/>
    <w:rsid w:val="00522505"/>
    <w:rsid w:val="00524D92"/>
    <w:rsid w:val="0052568E"/>
    <w:rsid w:val="00534A16"/>
    <w:rsid w:val="005459D5"/>
    <w:rsid w:val="00566E94"/>
    <w:rsid w:val="005750CD"/>
    <w:rsid w:val="00587423"/>
    <w:rsid w:val="0059443C"/>
    <w:rsid w:val="00594881"/>
    <w:rsid w:val="0059554A"/>
    <w:rsid w:val="005955BE"/>
    <w:rsid w:val="005A39D3"/>
    <w:rsid w:val="005A5188"/>
    <w:rsid w:val="005A5F7D"/>
    <w:rsid w:val="005A7A06"/>
    <w:rsid w:val="005B5B21"/>
    <w:rsid w:val="005C7DE2"/>
    <w:rsid w:val="005D42B8"/>
    <w:rsid w:val="005E0222"/>
    <w:rsid w:val="005E2FC9"/>
    <w:rsid w:val="005E3406"/>
    <w:rsid w:val="00606A4A"/>
    <w:rsid w:val="00607E03"/>
    <w:rsid w:val="00623B6D"/>
    <w:rsid w:val="00623C8F"/>
    <w:rsid w:val="00633F9D"/>
    <w:rsid w:val="0063717A"/>
    <w:rsid w:val="0064114F"/>
    <w:rsid w:val="006436C2"/>
    <w:rsid w:val="006766ED"/>
    <w:rsid w:val="006774AA"/>
    <w:rsid w:val="00694C20"/>
    <w:rsid w:val="006969A1"/>
    <w:rsid w:val="006A51E3"/>
    <w:rsid w:val="006B5DD9"/>
    <w:rsid w:val="006C3FC2"/>
    <w:rsid w:val="006D77BC"/>
    <w:rsid w:val="006F39B0"/>
    <w:rsid w:val="006F5F76"/>
    <w:rsid w:val="006F6618"/>
    <w:rsid w:val="0070746C"/>
    <w:rsid w:val="007179B9"/>
    <w:rsid w:val="00730141"/>
    <w:rsid w:val="0073460E"/>
    <w:rsid w:val="007531AC"/>
    <w:rsid w:val="00755BB0"/>
    <w:rsid w:val="00766C97"/>
    <w:rsid w:val="007704BA"/>
    <w:rsid w:val="00772B37"/>
    <w:rsid w:val="00794EBA"/>
    <w:rsid w:val="007A30B7"/>
    <w:rsid w:val="007A4D1E"/>
    <w:rsid w:val="007C3222"/>
    <w:rsid w:val="007D6AB7"/>
    <w:rsid w:val="00831035"/>
    <w:rsid w:val="0084332A"/>
    <w:rsid w:val="00855E1A"/>
    <w:rsid w:val="00861368"/>
    <w:rsid w:val="0086351F"/>
    <w:rsid w:val="00896D3A"/>
    <w:rsid w:val="008C5F64"/>
    <w:rsid w:val="008D4ABE"/>
    <w:rsid w:val="008E2AF0"/>
    <w:rsid w:val="008F6520"/>
    <w:rsid w:val="00915F17"/>
    <w:rsid w:val="00932250"/>
    <w:rsid w:val="00932D8D"/>
    <w:rsid w:val="009449D9"/>
    <w:rsid w:val="009466D3"/>
    <w:rsid w:val="0095589F"/>
    <w:rsid w:val="00967BE3"/>
    <w:rsid w:val="00971C09"/>
    <w:rsid w:val="00981483"/>
    <w:rsid w:val="009865ED"/>
    <w:rsid w:val="009A63DE"/>
    <w:rsid w:val="009A682A"/>
    <w:rsid w:val="009A7A44"/>
    <w:rsid w:val="009C764F"/>
    <w:rsid w:val="009F077B"/>
    <w:rsid w:val="009F269F"/>
    <w:rsid w:val="009F7F11"/>
    <w:rsid w:val="00A01009"/>
    <w:rsid w:val="00A0552C"/>
    <w:rsid w:val="00A14F92"/>
    <w:rsid w:val="00A21E45"/>
    <w:rsid w:val="00A25502"/>
    <w:rsid w:val="00A30833"/>
    <w:rsid w:val="00A370EF"/>
    <w:rsid w:val="00A41A24"/>
    <w:rsid w:val="00A4776C"/>
    <w:rsid w:val="00A54B6C"/>
    <w:rsid w:val="00A62384"/>
    <w:rsid w:val="00A65FAC"/>
    <w:rsid w:val="00A74535"/>
    <w:rsid w:val="00A751FC"/>
    <w:rsid w:val="00AB4D39"/>
    <w:rsid w:val="00AB6864"/>
    <w:rsid w:val="00AC5C0C"/>
    <w:rsid w:val="00AC7519"/>
    <w:rsid w:val="00AD1D5F"/>
    <w:rsid w:val="00AE09D5"/>
    <w:rsid w:val="00AE1708"/>
    <w:rsid w:val="00AE3818"/>
    <w:rsid w:val="00B0193A"/>
    <w:rsid w:val="00B10EBF"/>
    <w:rsid w:val="00B21484"/>
    <w:rsid w:val="00B33629"/>
    <w:rsid w:val="00B41FFB"/>
    <w:rsid w:val="00B81537"/>
    <w:rsid w:val="00BA026A"/>
    <w:rsid w:val="00BA23C1"/>
    <w:rsid w:val="00BC1561"/>
    <w:rsid w:val="00BE243A"/>
    <w:rsid w:val="00BE7695"/>
    <w:rsid w:val="00BF3929"/>
    <w:rsid w:val="00C059FD"/>
    <w:rsid w:val="00C311BD"/>
    <w:rsid w:val="00C37A2E"/>
    <w:rsid w:val="00C43EB0"/>
    <w:rsid w:val="00C519C8"/>
    <w:rsid w:val="00C52FB7"/>
    <w:rsid w:val="00C61A2C"/>
    <w:rsid w:val="00C712BA"/>
    <w:rsid w:val="00C76204"/>
    <w:rsid w:val="00C874C2"/>
    <w:rsid w:val="00C944BE"/>
    <w:rsid w:val="00CA5D27"/>
    <w:rsid w:val="00CB03FC"/>
    <w:rsid w:val="00CB5BEE"/>
    <w:rsid w:val="00CC378A"/>
    <w:rsid w:val="00CC4E07"/>
    <w:rsid w:val="00CE3F64"/>
    <w:rsid w:val="00D01CFF"/>
    <w:rsid w:val="00D143A7"/>
    <w:rsid w:val="00D31A43"/>
    <w:rsid w:val="00D34211"/>
    <w:rsid w:val="00D40C13"/>
    <w:rsid w:val="00D47C11"/>
    <w:rsid w:val="00D53F74"/>
    <w:rsid w:val="00D631A9"/>
    <w:rsid w:val="00D70D06"/>
    <w:rsid w:val="00D82A51"/>
    <w:rsid w:val="00D97D47"/>
    <w:rsid w:val="00DA205A"/>
    <w:rsid w:val="00DA7366"/>
    <w:rsid w:val="00DB0AE1"/>
    <w:rsid w:val="00DC53FE"/>
    <w:rsid w:val="00DC6086"/>
    <w:rsid w:val="00DD4709"/>
    <w:rsid w:val="00DD5319"/>
    <w:rsid w:val="00DD6900"/>
    <w:rsid w:val="00DE3FC9"/>
    <w:rsid w:val="00DE4A25"/>
    <w:rsid w:val="00DF7D00"/>
    <w:rsid w:val="00E14E49"/>
    <w:rsid w:val="00E159AF"/>
    <w:rsid w:val="00E22943"/>
    <w:rsid w:val="00E3055A"/>
    <w:rsid w:val="00E31C78"/>
    <w:rsid w:val="00E51F8F"/>
    <w:rsid w:val="00E52E30"/>
    <w:rsid w:val="00E6760B"/>
    <w:rsid w:val="00E73F03"/>
    <w:rsid w:val="00E805CD"/>
    <w:rsid w:val="00E8609B"/>
    <w:rsid w:val="00EB08B7"/>
    <w:rsid w:val="00EB0E1A"/>
    <w:rsid w:val="00ED329C"/>
    <w:rsid w:val="00EE1154"/>
    <w:rsid w:val="00EF6B49"/>
    <w:rsid w:val="00F14909"/>
    <w:rsid w:val="00F52982"/>
    <w:rsid w:val="00F66B94"/>
    <w:rsid w:val="00F72AFB"/>
    <w:rsid w:val="00FA2BAA"/>
    <w:rsid w:val="00FA61A4"/>
    <w:rsid w:val="00FC55DB"/>
    <w:rsid w:val="00FC5786"/>
    <w:rsid w:val="00FD55F6"/>
    <w:rsid w:val="00FD5A11"/>
    <w:rsid w:val="00FE1395"/>
    <w:rsid w:val="00FE7E55"/>
    <w:rsid w:val="00FF4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chartTrackingRefBased/>
  <w15:docId w15:val="{61C5260B-2309-4CE1-AD1C-D6E335BE8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E45"/>
  </w:style>
  <w:style w:type="paragraph" w:styleId="Heading1">
    <w:name w:val="heading 1"/>
    <w:basedOn w:val="Normal"/>
    <w:next w:val="Normal"/>
    <w:link w:val="Heading1Char"/>
    <w:uiPriority w:val="9"/>
    <w:qFormat/>
    <w:rsid w:val="00A21E45"/>
    <w:pPr>
      <w:keepNext/>
      <w:jc w:val="center"/>
      <w:outlineLvl w:val="0"/>
    </w:pPr>
    <w:rPr>
      <w:sz w:val="28"/>
      <w:szCs w:val="28"/>
    </w:rPr>
  </w:style>
  <w:style w:type="paragraph" w:styleId="Heading2">
    <w:name w:val="heading 2"/>
    <w:basedOn w:val="Normal"/>
    <w:next w:val="Normal"/>
    <w:link w:val="Heading2Char"/>
    <w:uiPriority w:val="9"/>
    <w:unhideWhenUsed/>
    <w:qFormat/>
    <w:rsid w:val="00D631A9"/>
    <w:pPr>
      <w:keepNext/>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1E45"/>
    <w:rPr>
      <w:sz w:val="28"/>
      <w:szCs w:val="28"/>
    </w:rPr>
  </w:style>
  <w:style w:type="table" w:styleId="TableGrid">
    <w:name w:val="Table Grid"/>
    <w:basedOn w:val="TableNormal"/>
    <w:uiPriority w:val="39"/>
    <w:rsid w:val="00A21E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F269F"/>
    <w:pPr>
      <w:ind w:left="720"/>
      <w:contextualSpacing/>
    </w:pPr>
  </w:style>
  <w:style w:type="character" w:styleId="Hyperlink">
    <w:name w:val="Hyperlink"/>
    <w:basedOn w:val="DefaultParagraphFont"/>
    <w:uiPriority w:val="99"/>
    <w:unhideWhenUsed/>
    <w:rsid w:val="00A30833"/>
    <w:rPr>
      <w:color w:val="0563C1" w:themeColor="hyperlink"/>
      <w:u w:val="single"/>
    </w:rPr>
  </w:style>
  <w:style w:type="character" w:customStyle="1" w:styleId="Heading2Char">
    <w:name w:val="Heading 2 Char"/>
    <w:basedOn w:val="DefaultParagraphFont"/>
    <w:link w:val="Heading2"/>
    <w:uiPriority w:val="9"/>
    <w:rsid w:val="00D631A9"/>
    <w:rPr>
      <w:b/>
      <w:sz w:val="24"/>
      <w:szCs w:val="24"/>
    </w:rPr>
  </w:style>
  <w:style w:type="paragraph" w:styleId="Header">
    <w:name w:val="header"/>
    <w:basedOn w:val="Normal"/>
    <w:link w:val="HeaderChar"/>
    <w:uiPriority w:val="99"/>
    <w:unhideWhenUsed/>
    <w:rsid w:val="00F72AFB"/>
    <w:pPr>
      <w:tabs>
        <w:tab w:val="center" w:pos="4513"/>
        <w:tab w:val="right" w:pos="9026"/>
      </w:tabs>
    </w:pPr>
  </w:style>
  <w:style w:type="character" w:customStyle="1" w:styleId="HeaderChar">
    <w:name w:val="Header Char"/>
    <w:basedOn w:val="DefaultParagraphFont"/>
    <w:link w:val="Header"/>
    <w:uiPriority w:val="99"/>
    <w:rsid w:val="00F72AFB"/>
  </w:style>
  <w:style w:type="paragraph" w:styleId="Footer">
    <w:name w:val="footer"/>
    <w:basedOn w:val="Normal"/>
    <w:link w:val="FooterChar"/>
    <w:uiPriority w:val="99"/>
    <w:unhideWhenUsed/>
    <w:rsid w:val="00F72AFB"/>
    <w:pPr>
      <w:tabs>
        <w:tab w:val="center" w:pos="4513"/>
        <w:tab w:val="right" w:pos="9026"/>
      </w:tabs>
    </w:pPr>
  </w:style>
  <w:style w:type="character" w:customStyle="1" w:styleId="FooterChar">
    <w:name w:val="Footer Char"/>
    <w:basedOn w:val="DefaultParagraphFont"/>
    <w:link w:val="Footer"/>
    <w:uiPriority w:val="99"/>
    <w:rsid w:val="00F72AFB"/>
  </w:style>
  <w:style w:type="character" w:styleId="FollowedHyperlink">
    <w:name w:val="FollowedHyperlink"/>
    <w:basedOn w:val="DefaultParagraphFont"/>
    <w:uiPriority w:val="99"/>
    <w:semiHidden/>
    <w:unhideWhenUsed/>
    <w:rsid w:val="00FA2BAA"/>
    <w:rPr>
      <w:color w:val="954F72" w:themeColor="followedHyperlink"/>
      <w:u w:val="single"/>
    </w:rPr>
  </w:style>
  <w:style w:type="paragraph" w:styleId="NoSpacing">
    <w:name w:val="No Spacing"/>
    <w:link w:val="NoSpacingChar"/>
    <w:uiPriority w:val="1"/>
    <w:qFormat/>
    <w:rsid w:val="00E3055A"/>
    <w:rPr>
      <w:rFonts w:asciiTheme="minorHAnsi" w:eastAsiaTheme="minorEastAsia" w:hAnsiTheme="minorHAnsi"/>
      <w:lang w:val="en-US"/>
    </w:rPr>
  </w:style>
  <w:style w:type="character" w:customStyle="1" w:styleId="NoSpacingChar">
    <w:name w:val="No Spacing Char"/>
    <w:basedOn w:val="DefaultParagraphFont"/>
    <w:link w:val="NoSpacing"/>
    <w:uiPriority w:val="1"/>
    <w:rsid w:val="00E3055A"/>
    <w:rPr>
      <w:rFonts w:asciiTheme="minorHAnsi" w:eastAsiaTheme="minorEastAsia" w:hAnsiTheme="minorHAnsi"/>
      <w:lang w:val="en-US"/>
    </w:rPr>
  </w:style>
  <w:style w:type="paragraph" w:styleId="BodyText">
    <w:name w:val="Body Text"/>
    <w:basedOn w:val="Normal"/>
    <w:link w:val="BodyTextChar"/>
    <w:uiPriority w:val="99"/>
    <w:unhideWhenUsed/>
    <w:rsid w:val="00E3055A"/>
    <w:rPr>
      <w:rFonts w:cs="Arial"/>
      <w:b/>
      <w:bCs/>
    </w:rPr>
  </w:style>
  <w:style w:type="character" w:customStyle="1" w:styleId="BodyTextChar">
    <w:name w:val="Body Text Char"/>
    <w:basedOn w:val="DefaultParagraphFont"/>
    <w:link w:val="BodyText"/>
    <w:uiPriority w:val="99"/>
    <w:rsid w:val="00E3055A"/>
    <w:rPr>
      <w:rFonts w:cs="Arial"/>
      <w:b/>
      <w:bCs/>
    </w:rPr>
  </w:style>
  <w:style w:type="paragraph" w:styleId="Revision">
    <w:name w:val="Revision"/>
    <w:hidden/>
    <w:uiPriority w:val="99"/>
    <w:semiHidden/>
    <w:rsid w:val="00C76204"/>
  </w:style>
  <w:style w:type="paragraph" w:styleId="BalloonText">
    <w:name w:val="Balloon Text"/>
    <w:basedOn w:val="Normal"/>
    <w:link w:val="BalloonTextChar"/>
    <w:uiPriority w:val="99"/>
    <w:semiHidden/>
    <w:unhideWhenUsed/>
    <w:rsid w:val="00C762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204"/>
    <w:rPr>
      <w:rFonts w:ascii="Segoe UI" w:hAnsi="Segoe UI" w:cs="Segoe UI"/>
      <w:sz w:val="18"/>
      <w:szCs w:val="18"/>
    </w:rPr>
  </w:style>
  <w:style w:type="paragraph" w:styleId="BodyText2">
    <w:name w:val="Body Text 2"/>
    <w:basedOn w:val="Normal"/>
    <w:link w:val="BodyText2Char"/>
    <w:uiPriority w:val="99"/>
    <w:unhideWhenUsed/>
    <w:rsid w:val="00F52982"/>
    <w:rPr>
      <w:sz w:val="24"/>
      <w:szCs w:val="24"/>
    </w:rPr>
  </w:style>
  <w:style w:type="character" w:customStyle="1" w:styleId="BodyText2Char">
    <w:name w:val="Body Text 2 Char"/>
    <w:basedOn w:val="DefaultParagraphFont"/>
    <w:link w:val="BodyText2"/>
    <w:uiPriority w:val="99"/>
    <w:rsid w:val="00F5298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bsa.nhs.uk/pharmacies-gp-practices-and-appliance-contractors/drug-tarif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A3C7C-1FF3-4DA6-BFEE-638E8CE4A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BHRCCGs</Company>
  <LinksUpToDate>false</LinksUpToDate>
  <CharactersWithSpaces>3157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Kong Vicki - QIPP Programme Pharmacist</dc:creator>
  <cp:keywords/>
  <dc:description/>
  <cp:lastModifiedBy>Kong Vicki - QIPP Programme Pharmacist</cp:lastModifiedBy>
  <cp:revision>6</cp:revision>
  <dcterms:created xsi:type="dcterms:W3CDTF">2019-10-29T09:37:00Z</dcterms:created>
  <dcterms:modified xsi:type="dcterms:W3CDTF">2019-11-27T14:20:00Z</dcterms:modified>
</cp:coreProperties>
</file>