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CD4" w:rsidRDefault="00A95CD4" w:rsidP="00E85162"/>
    <w:p w:rsidR="00A95CD4" w:rsidRDefault="00A95CD4" w:rsidP="00E85162"/>
    <w:p w:rsidR="00495973" w:rsidRPr="008E552E" w:rsidRDefault="00495973" w:rsidP="00495973">
      <w:pPr>
        <w:ind w:left="8640"/>
        <w:jc w:val="right"/>
        <w:rPr>
          <w:rFonts w:cs="Arial"/>
        </w:rPr>
      </w:pPr>
      <w:proofErr w:type="spellStart"/>
      <w:r w:rsidRPr="008E552E">
        <w:rPr>
          <w:rFonts w:cs="Arial"/>
        </w:rPr>
        <w:t>Becketts</w:t>
      </w:r>
      <w:proofErr w:type="spellEnd"/>
      <w:r w:rsidRPr="008E552E">
        <w:rPr>
          <w:rFonts w:cs="Arial"/>
        </w:rPr>
        <w:t xml:space="preserve"> House</w:t>
      </w:r>
    </w:p>
    <w:p w:rsidR="00495973" w:rsidRPr="008E552E" w:rsidRDefault="00495973" w:rsidP="00495973">
      <w:pPr>
        <w:jc w:val="right"/>
        <w:rPr>
          <w:rFonts w:cs="Arial"/>
        </w:rPr>
      </w:pPr>
      <w:r w:rsidRPr="008E552E">
        <w:rPr>
          <w:rFonts w:cs="Arial"/>
        </w:rPr>
        <w:t>2-14 Ilford Hill</w:t>
      </w:r>
    </w:p>
    <w:p w:rsidR="00495973" w:rsidRPr="008E552E" w:rsidRDefault="00495973" w:rsidP="00495973">
      <w:pPr>
        <w:jc w:val="right"/>
        <w:rPr>
          <w:rFonts w:cs="Arial"/>
        </w:rPr>
      </w:pPr>
      <w:r w:rsidRPr="008E552E">
        <w:rPr>
          <w:rFonts w:cs="Arial"/>
        </w:rPr>
        <w:t>Ilford, Essex</w:t>
      </w:r>
    </w:p>
    <w:p w:rsidR="00495973" w:rsidRPr="008E552E" w:rsidRDefault="00495973" w:rsidP="00495973">
      <w:pPr>
        <w:tabs>
          <w:tab w:val="center" w:pos="4748"/>
          <w:tab w:val="right" w:pos="9497"/>
        </w:tabs>
        <w:jc w:val="right"/>
        <w:rPr>
          <w:rFonts w:cs="Arial"/>
        </w:rPr>
      </w:pPr>
      <w:r w:rsidRPr="008E552E">
        <w:rPr>
          <w:rFonts w:cs="Arial"/>
        </w:rPr>
        <w:tab/>
      </w:r>
      <w:r w:rsidRPr="008E552E">
        <w:rPr>
          <w:rFonts w:cs="Arial"/>
        </w:rPr>
        <w:tab/>
        <w:t>IG1 2QX</w:t>
      </w:r>
    </w:p>
    <w:p w:rsidR="00495973" w:rsidRPr="008E552E" w:rsidRDefault="00495973" w:rsidP="00495973">
      <w:pPr>
        <w:jc w:val="right"/>
        <w:rPr>
          <w:rFonts w:cs="Arial"/>
        </w:rPr>
      </w:pPr>
      <w:r w:rsidRPr="008E552E">
        <w:rPr>
          <w:rFonts w:cs="Arial"/>
        </w:rPr>
        <w:t xml:space="preserve">Tel 0203.182 3133 </w:t>
      </w:r>
    </w:p>
    <w:p w:rsidR="00495973" w:rsidRPr="008E552E" w:rsidRDefault="00495973" w:rsidP="00495973">
      <w:pPr>
        <w:jc w:val="right"/>
        <w:rPr>
          <w:rFonts w:cs="Arial"/>
        </w:rPr>
      </w:pPr>
    </w:p>
    <w:p w:rsidR="00495973" w:rsidRPr="008E552E" w:rsidRDefault="00495973" w:rsidP="00495973">
      <w:pPr>
        <w:jc w:val="right"/>
        <w:rPr>
          <w:rFonts w:cs="Arial"/>
        </w:rPr>
      </w:pPr>
      <w:proofErr w:type="spellStart"/>
      <w:r w:rsidRPr="008E552E">
        <w:rPr>
          <w:rFonts w:cs="Arial"/>
        </w:rPr>
        <w:t>Ref.GK</w:t>
      </w:r>
      <w:proofErr w:type="spellEnd"/>
      <w:r w:rsidRPr="008E552E">
        <w:rPr>
          <w:rFonts w:cs="Arial"/>
        </w:rPr>
        <w:t>/SP/39/2017</w:t>
      </w:r>
    </w:p>
    <w:p w:rsidR="00495973" w:rsidRDefault="00495973" w:rsidP="00495973">
      <w:pPr>
        <w:rPr>
          <w:rFonts w:cs="Arial"/>
        </w:rPr>
      </w:pPr>
    </w:p>
    <w:p w:rsidR="00495973" w:rsidRDefault="00495973" w:rsidP="00495973">
      <w:pPr>
        <w:rPr>
          <w:rFonts w:cs="Arial"/>
        </w:rPr>
      </w:pPr>
    </w:p>
    <w:p w:rsidR="00495973" w:rsidRDefault="00495973" w:rsidP="00495973">
      <w:pPr>
        <w:rPr>
          <w:rFonts w:cs="Arial"/>
        </w:rPr>
      </w:pPr>
    </w:p>
    <w:p w:rsidR="00495973" w:rsidRPr="008E552E" w:rsidRDefault="00495973" w:rsidP="00495973">
      <w:pPr>
        <w:rPr>
          <w:rFonts w:cs="Arial"/>
        </w:rPr>
      </w:pPr>
      <w:r w:rsidRPr="008E552E">
        <w:rPr>
          <w:rFonts w:cs="Arial"/>
        </w:rPr>
        <w:t>Dear Head Teacher,</w:t>
      </w:r>
    </w:p>
    <w:p w:rsidR="00495973" w:rsidRPr="008E552E" w:rsidRDefault="00495973" w:rsidP="00495973">
      <w:pPr>
        <w:rPr>
          <w:rFonts w:cs="Arial"/>
          <w:sz w:val="16"/>
          <w:szCs w:val="16"/>
        </w:rPr>
      </w:pPr>
    </w:p>
    <w:p w:rsidR="00495973" w:rsidRPr="008E552E" w:rsidRDefault="00495973" w:rsidP="00495973">
      <w:pPr>
        <w:rPr>
          <w:rFonts w:cs="Arial"/>
          <w:b/>
        </w:rPr>
      </w:pPr>
      <w:r w:rsidRPr="008E552E">
        <w:rPr>
          <w:rFonts w:cs="Arial"/>
          <w:b/>
        </w:rPr>
        <w:t>Re:  The provision of adrenaline auto-injectors (AAIs) for schools</w:t>
      </w:r>
    </w:p>
    <w:p w:rsidR="00495973" w:rsidRPr="008E552E" w:rsidRDefault="00495973" w:rsidP="00495973">
      <w:pPr>
        <w:rPr>
          <w:rFonts w:cs="Arial"/>
          <w:sz w:val="16"/>
          <w:szCs w:val="16"/>
        </w:rPr>
      </w:pPr>
    </w:p>
    <w:p w:rsidR="00495973" w:rsidRPr="008E552E" w:rsidRDefault="00495973" w:rsidP="00495973">
      <w:pPr>
        <w:jc w:val="both"/>
        <w:rPr>
          <w:rFonts w:cs="Arial"/>
        </w:rPr>
      </w:pPr>
      <w:r w:rsidRPr="008E552E">
        <w:rPr>
          <w:rFonts w:cs="Arial"/>
        </w:rPr>
        <w:t xml:space="preserve">We understand that the parents of </w:t>
      </w:r>
      <w:permStart w:id="925899334" w:edGrp="everyone"/>
      <w:r w:rsidR="00164ABB">
        <w:rPr>
          <w:rFonts w:cs="Arial"/>
        </w:rPr>
        <w:t>……………………………..…</w:t>
      </w:r>
      <w:bookmarkStart w:id="0" w:name="_GoBack"/>
      <w:bookmarkEnd w:id="0"/>
      <w:r w:rsidRPr="008E552E">
        <w:rPr>
          <w:rFonts w:cs="Arial"/>
        </w:rPr>
        <w:t>….….</w:t>
      </w:r>
      <w:permEnd w:id="925899334"/>
      <w:r w:rsidRPr="008E552E">
        <w:rPr>
          <w:rFonts w:cs="Arial"/>
        </w:rPr>
        <w:t xml:space="preserve"> have recently been asked by your school to obtain a GP prescription for some extra AAIs (</w:t>
      </w:r>
      <w:proofErr w:type="spellStart"/>
      <w:r w:rsidRPr="008E552E">
        <w:rPr>
          <w:rFonts w:cs="Arial"/>
        </w:rPr>
        <w:t>Epipen</w:t>
      </w:r>
      <w:proofErr w:type="spellEnd"/>
      <w:r w:rsidRPr="008E552E">
        <w:rPr>
          <w:rFonts w:cs="Arial"/>
        </w:rPr>
        <w:t xml:space="preserve"> / </w:t>
      </w:r>
      <w:proofErr w:type="spellStart"/>
      <w:r w:rsidRPr="008E552E">
        <w:rPr>
          <w:rFonts w:cs="Arial"/>
        </w:rPr>
        <w:t>Epipen</w:t>
      </w:r>
      <w:proofErr w:type="spellEnd"/>
      <w:r w:rsidRPr="008E552E">
        <w:rPr>
          <w:rFonts w:cs="Arial"/>
        </w:rPr>
        <w:t xml:space="preserve"> Jnr / </w:t>
      </w:r>
      <w:proofErr w:type="spellStart"/>
      <w:r w:rsidRPr="008E552E">
        <w:rPr>
          <w:rFonts w:cs="Arial"/>
        </w:rPr>
        <w:t>Emerade</w:t>
      </w:r>
      <w:proofErr w:type="spellEnd"/>
      <w:r w:rsidRPr="008E552E">
        <w:rPr>
          <w:rFonts w:cs="Arial"/>
        </w:rPr>
        <w:t xml:space="preserve"> / </w:t>
      </w:r>
      <w:proofErr w:type="spellStart"/>
      <w:r w:rsidRPr="008E552E">
        <w:rPr>
          <w:rFonts w:cs="Arial"/>
        </w:rPr>
        <w:t>Jext</w:t>
      </w:r>
      <w:proofErr w:type="spellEnd"/>
      <w:r w:rsidRPr="008E552E">
        <w:rPr>
          <w:rFonts w:cs="Arial"/>
        </w:rPr>
        <w:t>) for the purpose of being kept at the school.  The provision of extra AAIs intended to be kept at a school is not the responsibility of the patient’s GP.</w:t>
      </w:r>
    </w:p>
    <w:p w:rsidR="00495973" w:rsidRPr="008E552E" w:rsidRDefault="00495973" w:rsidP="00495973">
      <w:pPr>
        <w:jc w:val="both"/>
        <w:rPr>
          <w:rFonts w:cs="Arial"/>
          <w:sz w:val="16"/>
          <w:szCs w:val="16"/>
        </w:rPr>
      </w:pPr>
    </w:p>
    <w:p w:rsidR="00495973" w:rsidRPr="008E552E" w:rsidRDefault="00495973" w:rsidP="00495973">
      <w:pPr>
        <w:jc w:val="both"/>
        <w:rPr>
          <w:rFonts w:cs="Arial"/>
        </w:rPr>
      </w:pPr>
      <w:r w:rsidRPr="008E552E">
        <w:rPr>
          <w:rFonts w:cs="Arial"/>
        </w:rPr>
        <w:t>Barking &amp; Dagenham, Havering and Redbridge Clinical Commissioning Groups (BHR CCGs) Area Prescribing sub-Committees (APC) have agreed that GP prescribing of AAIs is restricted to a two devices, which are to be carried in person by the patient. This is in line with updated MHRA advice for healthcare professionals on the provision of AAIs</w:t>
      </w:r>
      <w:r w:rsidRPr="008E552E">
        <w:rPr>
          <w:rFonts w:cs="Arial"/>
          <w:i/>
        </w:rPr>
        <w:t xml:space="preserve">. </w:t>
      </w:r>
    </w:p>
    <w:p w:rsidR="00495973" w:rsidRPr="008E552E" w:rsidRDefault="00495973" w:rsidP="00495973">
      <w:pPr>
        <w:jc w:val="both"/>
        <w:rPr>
          <w:rFonts w:cs="Arial"/>
          <w:sz w:val="16"/>
          <w:szCs w:val="16"/>
        </w:rPr>
      </w:pPr>
    </w:p>
    <w:p w:rsidR="00495973" w:rsidRPr="008E552E" w:rsidRDefault="00495973" w:rsidP="00495973">
      <w:pPr>
        <w:jc w:val="both"/>
        <w:rPr>
          <w:rFonts w:cs="Arial"/>
        </w:rPr>
      </w:pPr>
      <w:r w:rsidRPr="008E552E">
        <w:rPr>
          <w:rFonts w:cs="Arial"/>
        </w:rPr>
        <w:t>From 1st October 2017, schools in England were allowed to purchase AAI devices without a prescription, for emergency use on children who are at risk of anaphylaxis but whose own device is not available or not working. The Department of Health Guidance on the use of adrenaline auto-injectors in schools -</w:t>
      </w:r>
    </w:p>
    <w:p w:rsidR="00495973" w:rsidRPr="008E552E" w:rsidRDefault="00164ABB" w:rsidP="00495973">
      <w:pPr>
        <w:jc w:val="both"/>
        <w:rPr>
          <w:rFonts w:cs="Arial"/>
        </w:rPr>
      </w:pPr>
      <w:hyperlink r:id="rId8" w:history="1">
        <w:r w:rsidR="00495973" w:rsidRPr="008E552E">
          <w:rPr>
            <w:rFonts w:cs="Arial"/>
            <w:color w:val="0563C1"/>
            <w:u w:val="single"/>
          </w:rPr>
          <w:t>https://www.gov.uk/government/uploads/system/uploads/attachment_data/file/645476/Adrenaline_auto_injectors_in_schools.pdf</w:t>
        </w:r>
      </w:hyperlink>
      <w:r w:rsidR="00495973" w:rsidRPr="008E552E">
        <w:rPr>
          <w:rFonts w:cs="Arial"/>
        </w:rPr>
        <w:t xml:space="preserve"> </w:t>
      </w:r>
    </w:p>
    <w:p w:rsidR="00495973" w:rsidRPr="008E552E" w:rsidRDefault="00495973" w:rsidP="00495973">
      <w:pPr>
        <w:jc w:val="both"/>
        <w:rPr>
          <w:rFonts w:cs="Arial"/>
          <w:sz w:val="16"/>
          <w:szCs w:val="16"/>
        </w:rPr>
      </w:pPr>
    </w:p>
    <w:p w:rsidR="00495973" w:rsidRPr="008E552E" w:rsidRDefault="00495973" w:rsidP="00495973">
      <w:pPr>
        <w:jc w:val="both"/>
        <w:rPr>
          <w:rFonts w:cs="Arial"/>
        </w:rPr>
      </w:pPr>
      <w:r w:rsidRPr="008E552E">
        <w:rPr>
          <w:rFonts w:cs="Arial"/>
        </w:rPr>
        <w:t xml:space="preserve">For ease of reference it states (page 5): </w:t>
      </w:r>
    </w:p>
    <w:p w:rsidR="00495973" w:rsidRPr="008E552E" w:rsidRDefault="00495973" w:rsidP="00495973">
      <w:pPr>
        <w:jc w:val="both"/>
        <w:rPr>
          <w:rFonts w:cs="Arial"/>
        </w:rPr>
      </w:pPr>
      <w:r w:rsidRPr="008E552E">
        <w:rPr>
          <w:rFonts w:cs="Arial"/>
          <w:i/>
          <w:sz w:val="20"/>
        </w:rPr>
        <w:t>From 1 October 2017 the Human Medicines (Amendment) Regulations 2017 will allow schools to obtain, without a prescription, adrenaline auto-injector (AAI) devices, if they wish, for use in emergencies. This will be for any pupil who holds both medical authorisation and parental consent for an AAI to be administered. The AAI(s) can be used if the pupil’s own prescribed AAI(s) are not immediately available (for example, because they are broken, out-of-date, have misfired or been wrongly administered).</w:t>
      </w:r>
    </w:p>
    <w:p w:rsidR="00495973" w:rsidRPr="008E552E" w:rsidRDefault="00495973" w:rsidP="00495973">
      <w:pPr>
        <w:jc w:val="both"/>
        <w:rPr>
          <w:rFonts w:cs="Arial"/>
          <w:sz w:val="16"/>
          <w:szCs w:val="16"/>
        </w:rPr>
      </w:pPr>
    </w:p>
    <w:p w:rsidR="00495973" w:rsidRPr="008E552E" w:rsidRDefault="00495973" w:rsidP="00495973">
      <w:pPr>
        <w:jc w:val="both"/>
        <w:rPr>
          <w:rFonts w:cs="Arial"/>
        </w:rPr>
      </w:pPr>
      <w:r w:rsidRPr="008E552E">
        <w:rPr>
          <w:rFonts w:cs="Arial"/>
        </w:rPr>
        <w:t>Page 11:</w:t>
      </w:r>
    </w:p>
    <w:p w:rsidR="00495973" w:rsidRPr="008E552E" w:rsidRDefault="00495973" w:rsidP="00495973">
      <w:pPr>
        <w:jc w:val="both"/>
        <w:rPr>
          <w:rFonts w:cs="Arial"/>
          <w:i/>
          <w:sz w:val="20"/>
        </w:rPr>
      </w:pPr>
      <w:r w:rsidRPr="008E552E">
        <w:rPr>
          <w:rFonts w:cs="Arial"/>
          <w:i/>
          <w:sz w:val="20"/>
        </w:rPr>
        <w:t xml:space="preserve">Schools can purchase AAIs from a pharmaceutical supplier, such as a local pharmacy, without a prescription, provided the general advice relating to these transactions are observed: i.e. small quantities on an occasional basis and the school does not intend to profit from it. </w:t>
      </w:r>
    </w:p>
    <w:p w:rsidR="00495973" w:rsidRPr="008E552E" w:rsidRDefault="00495973" w:rsidP="00495973">
      <w:pPr>
        <w:jc w:val="both"/>
        <w:rPr>
          <w:rFonts w:cs="Arial"/>
          <w:sz w:val="16"/>
          <w:szCs w:val="16"/>
        </w:rPr>
      </w:pPr>
    </w:p>
    <w:p w:rsidR="00495973" w:rsidRPr="008E552E" w:rsidRDefault="00495973" w:rsidP="00495973">
      <w:pPr>
        <w:jc w:val="both"/>
        <w:rPr>
          <w:rFonts w:cs="Arial"/>
        </w:rPr>
      </w:pPr>
      <w:r w:rsidRPr="008E552E">
        <w:rPr>
          <w:rFonts w:cs="Arial"/>
        </w:rPr>
        <w:t>With regulatory changes, allowing schools to purchase extra AAIs, BHR CCGs have reminded its prescribers that provision of extra AAIs for schools is the responsibility of the school, any request to prescribe extra AAIs to keep at the school should be refused. We hope this clarifies the situation.</w:t>
      </w:r>
    </w:p>
    <w:p w:rsidR="00495973" w:rsidRPr="008E552E" w:rsidRDefault="00495973" w:rsidP="00495973">
      <w:pPr>
        <w:jc w:val="both"/>
        <w:rPr>
          <w:rFonts w:cs="Arial"/>
          <w:sz w:val="16"/>
          <w:szCs w:val="16"/>
        </w:rPr>
      </w:pPr>
    </w:p>
    <w:p w:rsidR="00495973" w:rsidRPr="008E552E" w:rsidRDefault="00495973" w:rsidP="00495973">
      <w:pPr>
        <w:rPr>
          <w:rFonts w:cs="Arial"/>
        </w:rPr>
      </w:pPr>
      <w:r w:rsidRPr="008E552E">
        <w:rPr>
          <w:rFonts w:cs="Arial"/>
        </w:rPr>
        <w:t>Yours faithfully,</w:t>
      </w:r>
    </w:p>
    <w:p w:rsidR="00495973" w:rsidRPr="005263EA" w:rsidRDefault="00495973" w:rsidP="00495973">
      <w:pPr>
        <w:rPr>
          <w:rFonts w:ascii="Calibri" w:hAnsi="Calibri"/>
          <w:sz w:val="16"/>
          <w:szCs w:val="16"/>
        </w:rPr>
      </w:pPr>
    </w:p>
    <w:p w:rsidR="00495973" w:rsidRPr="008E552E" w:rsidRDefault="00495973" w:rsidP="00495973">
      <w:pPr>
        <w:rPr>
          <w:rFonts w:ascii="Freestyle Script" w:hAnsi="Freestyle Script"/>
          <w:sz w:val="36"/>
          <w:szCs w:val="36"/>
        </w:rPr>
      </w:pPr>
      <w:r w:rsidRPr="008E552E">
        <w:rPr>
          <w:rFonts w:ascii="Freestyle Script" w:hAnsi="Freestyle Script" w:cs="Arial"/>
          <w:color w:val="FF0000"/>
          <w:sz w:val="36"/>
          <w:szCs w:val="36"/>
        </w:rPr>
        <w:t xml:space="preserve">Gurkirit Kalkat                   Alex Tran                         Syed Raza                           </w:t>
      </w:r>
    </w:p>
    <w:p w:rsidR="00495973" w:rsidRDefault="00495973" w:rsidP="00495973">
      <w:r w:rsidRPr="00B02289">
        <w:t>Dr G Kalkat</w:t>
      </w:r>
      <w:r>
        <w:t xml:space="preserve">                                 Dr A Tran                                      Dr S Raza</w:t>
      </w:r>
    </w:p>
    <w:p w:rsidR="00495973" w:rsidRPr="00E910D7" w:rsidRDefault="00495973" w:rsidP="00495973">
      <w:pPr>
        <w:rPr>
          <w:sz w:val="20"/>
        </w:rPr>
      </w:pPr>
      <w:r w:rsidRPr="00E910D7">
        <w:rPr>
          <w:sz w:val="20"/>
        </w:rPr>
        <w:t xml:space="preserve">Prescribing lead Barking           </w:t>
      </w:r>
      <w:r>
        <w:rPr>
          <w:sz w:val="20"/>
        </w:rPr>
        <w:t xml:space="preserve">      </w:t>
      </w:r>
      <w:r w:rsidRPr="00E910D7">
        <w:rPr>
          <w:sz w:val="20"/>
        </w:rPr>
        <w:t xml:space="preserve"> Prescribing lead Havering </w:t>
      </w:r>
      <w:r>
        <w:rPr>
          <w:sz w:val="20"/>
        </w:rPr>
        <w:t>CCG</w:t>
      </w:r>
      <w:r w:rsidRPr="00E910D7">
        <w:rPr>
          <w:sz w:val="20"/>
        </w:rPr>
        <w:t xml:space="preserve"> </w:t>
      </w:r>
      <w:r>
        <w:rPr>
          <w:sz w:val="20"/>
        </w:rPr>
        <w:t xml:space="preserve">      </w:t>
      </w:r>
      <w:r w:rsidRPr="00E910D7">
        <w:rPr>
          <w:sz w:val="20"/>
        </w:rPr>
        <w:t xml:space="preserve">  Prescribing lead Redbridge</w:t>
      </w:r>
      <w:r>
        <w:rPr>
          <w:sz w:val="20"/>
        </w:rPr>
        <w:t xml:space="preserve"> CCG</w:t>
      </w:r>
      <w:r w:rsidRPr="00E910D7">
        <w:rPr>
          <w:sz w:val="20"/>
        </w:rPr>
        <w:t xml:space="preserve"> and Dagenham</w:t>
      </w:r>
      <w:r>
        <w:rPr>
          <w:sz w:val="20"/>
        </w:rPr>
        <w:t xml:space="preserve"> CCG</w:t>
      </w:r>
    </w:p>
    <w:p w:rsidR="00495973" w:rsidRDefault="00495973" w:rsidP="00495973">
      <w:r>
        <w:t>Co-</w:t>
      </w:r>
      <w:r w:rsidRPr="00B02289">
        <w:t>Chair</w:t>
      </w:r>
      <w:r>
        <w:t>s</w:t>
      </w:r>
      <w:r w:rsidRPr="00B02289">
        <w:t xml:space="preserve">, Barking &amp; Dagenham, Havering and Redbridge Clinical Commissioning Groups </w:t>
      </w:r>
      <w:r>
        <w:t>Area Prescribing sub-Committees</w:t>
      </w:r>
    </w:p>
    <w:p w:rsidR="00E85162" w:rsidRPr="00F82ACD" w:rsidRDefault="00E85162" w:rsidP="00495973">
      <w:pPr>
        <w:rPr>
          <w:sz w:val="24"/>
        </w:rPr>
      </w:pPr>
    </w:p>
    <w:sectPr w:rsidR="00E85162" w:rsidRPr="00F82ACD" w:rsidSect="00495973">
      <w:footerReference w:type="default" r:id="rId9"/>
      <w:headerReference w:type="first" r:id="rId10"/>
      <w:footerReference w:type="first" r:id="rId11"/>
      <w:pgSz w:w="11906" w:h="16838" w:code="9"/>
      <w:pgMar w:top="1134" w:right="851" w:bottom="1701" w:left="851" w:header="0" w:footer="5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CD9" w:rsidRDefault="00422CD9" w:rsidP="007E6061">
      <w:r>
        <w:separator/>
      </w:r>
    </w:p>
  </w:endnote>
  <w:endnote w:type="continuationSeparator" w:id="0">
    <w:p w:rsidR="00422CD9" w:rsidRDefault="00422CD9" w:rsidP="007E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2A" w:rsidRPr="005361FE" w:rsidRDefault="00B33007" w:rsidP="005361FE">
    <w:pPr>
      <w:jc w:val="right"/>
      <w:rPr>
        <w:sz w:val="18"/>
        <w:szCs w:val="18"/>
      </w:rPr>
    </w:pPr>
    <w:r w:rsidRPr="005361FE">
      <w:rPr>
        <w:rStyle w:val="FooterChar"/>
        <w:sz w:val="18"/>
        <w:szCs w:val="18"/>
      </w:rPr>
      <w:t xml:space="preserve">Page </w:t>
    </w:r>
    <w:r w:rsidRPr="005361FE">
      <w:rPr>
        <w:rStyle w:val="FooterChar"/>
        <w:sz w:val="18"/>
        <w:szCs w:val="18"/>
      </w:rPr>
      <w:fldChar w:fldCharType="begin"/>
    </w:r>
    <w:r w:rsidRPr="005361FE">
      <w:rPr>
        <w:rStyle w:val="FooterChar"/>
        <w:sz w:val="18"/>
        <w:szCs w:val="18"/>
      </w:rPr>
      <w:instrText xml:space="preserve"> PAGE </w:instrText>
    </w:r>
    <w:r w:rsidRPr="005361FE">
      <w:rPr>
        <w:rStyle w:val="FooterChar"/>
        <w:sz w:val="18"/>
        <w:szCs w:val="18"/>
      </w:rPr>
      <w:fldChar w:fldCharType="separate"/>
    </w:r>
    <w:r w:rsidR="000C4BB2">
      <w:rPr>
        <w:rStyle w:val="FooterChar"/>
        <w:noProof/>
        <w:sz w:val="18"/>
        <w:szCs w:val="18"/>
      </w:rPr>
      <w:t>2</w:t>
    </w:r>
    <w:r w:rsidRPr="005361FE">
      <w:rPr>
        <w:rStyle w:val="FooterChar"/>
        <w:sz w:val="18"/>
        <w:szCs w:val="18"/>
      </w:rPr>
      <w:fldChar w:fldCharType="end"/>
    </w:r>
    <w:r w:rsidRPr="005361FE">
      <w:rPr>
        <w:rStyle w:val="FooterChar"/>
        <w:sz w:val="18"/>
        <w:szCs w:val="18"/>
      </w:rPr>
      <w:t xml:space="preserve"> of </w:t>
    </w:r>
    <w:r w:rsidRPr="005361FE">
      <w:rPr>
        <w:rStyle w:val="FooterChar"/>
        <w:sz w:val="18"/>
        <w:szCs w:val="18"/>
      </w:rPr>
      <w:fldChar w:fldCharType="begin"/>
    </w:r>
    <w:r w:rsidRPr="005361FE">
      <w:rPr>
        <w:rStyle w:val="FooterChar"/>
        <w:sz w:val="18"/>
        <w:szCs w:val="18"/>
      </w:rPr>
      <w:instrText xml:space="preserve"> NUMPAGES  </w:instrText>
    </w:r>
    <w:r w:rsidRPr="005361FE">
      <w:rPr>
        <w:rStyle w:val="FooterChar"/>
        <w:sz w:val="18"/>
        <w:szCs w:val="18"/>
      </w:rPr>
      <w:fldChar w:fldCharType="separate"/>
    </w:r>
    <w:r w:rsidR="000C4BB2">
      <w:rPr>
        <w:rStyle w:val="FooterChar"/>
        <w:noProof/>
        <w:sz w:val="18"/>
        <w:szCs w:val="18"/>
      </w:rPr>
      <w:t>2</w:t>
    </w:r>
    <w:r w:rsidRPr="005361FE">
      <w:rPr>
        <w:rStyle w:val="FooterCha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2A" w:rsidRDefault="00B33007" w:rsidP="002357D3">
    <w:pPr>
      <w:tabs>
        <w:tab w:val="left" w:pos="2439"/>
        <w:tab w:val="left" w:pos="2592"/>
        <w:tab w:val="left" w:pos="2742"/>
        <w:tab w:val="center" w:pos="5386"/>
        <w:tab w:val="left" w:pos="6084"/>
        <w:tab w:val="left" w:pos="7170"/>
      </w:tabs>
      <w:spacing w:line="200" w:lineRule="exact"/>
      <w:rPr>
        <w:rFonts w:cs="Arial"/>
        <w:color w:val="000000"/>
        <w:sz w:val="16"/>
        <w:szCs w:val="16"/>
      </w:rPr>
    </w:pPr>
    <w:r>
      <w:rPr>
        <w:rFonts w:cs="Arial"/>
        <w:color w:val="000000"/>
        <w:sz w:val="16"/>
        <w:szCs w:val="16"/>
      </w:rPr>
      <w:t>Managing Director: Ceri Jacob</w:t>
    </w:r>
  </w:p>
  <w:p w:rsidR="0063422A" w:rsidRPr="00B70260" w:rsidRDefault="00495973" w:rsidP="002357D3">
    <w:pPr>
      <w:spacing w:line="200" w:lineRule="exact"/>
      <w:ind w:right="480"/>
      <w:rPr>
        <w:rFonts w:cs="Arial"/>
        <w:color w:val="000000"/>
        <w:sz w:val="16"/>
        <w:szCs w:val="16"/>
      </w:rPr>
    </w:pPr>
    <w:r>
      <w:rPr>
        <w:rFonts w:cs="Arial"/>
        <w:noProof/>
        <w:color w:val="000000"/>
        <w:sz w:val="16"/>
        <w:szCs w:val="16"/>
        <w:lang w:eastAsia="en-GB"/>
      </w:rPr>
      <w:drawing>
        <wp:anchor distT="0" distB="0" distL="114300" distR="114300" simplePos="0" relativeHeight="251667456" behindDoc="1" locked="0" layoutInCell="1" allowOverlap="1">
          <wp:simplePos x="0" y="0"/>
          <wp:positionH relativeFrom="page">
            <wp:posOffset>1047750</wp:posOffset>
          </wp:positionH>
          <wp:positionV relativeFrom="page">
            <wp:posOffset>9725025</wp:posOffset>
          </wp:positionV>
          <wp:extent cx="6477000" cy="10763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07" w:rsidRPr="00B70260">
      <w:rPr>
        <w:rFonts w:cs="Arial"/>
        <w:color w:val="000000"/>
        <w:sz w:val="16"/>
        <w:szCs w:val="16"/>
      </w:rPr>
      <w:t>Barking and Dagenham</w:t>
    </w:r>
    <w:r w:rsidR="00B33007">
      <w:rPr>
        <w:rFonts w:cs="Arial"/>
        <w:color w:val="000000"/>
        <w:sz w:val="16"/>
        <w:szCs w:val="16"/>
      </w:rPr>
      <w:t>, Havering and Redbridge Clinical Commissioning Groups</w:t>
    </w:r>
  </w:p>
  <w:p w:rsidR="0063422A" w:rsidRDefault="00B33007" w:rsidP="002357D3">
    <w:pPr>
      <w:spacing w:line="200" w:lineRule="exact"/>
      <w:rPr>
        <w:rFonts w:cs="Arial"/>
        <w:color w:val="000000"/>
        <w:sz w:val="16"/>
        <w:szCs w:val="16"/>
      </w:rPr>
    </w:pPr>
    <w:r>
      <w:rPr>
        <w:rFonts w:cs="Arial"/>
        <w:color w:val="000000"/>
        <w:sz w:val="16"/>
        <w:szCs w:val="16"/>
      </w:rPr>
      <w:t xml:space="preserve">Chairs: </w:t>
    </w:r>
  </w:p>
  <w:p w:rsidR="0063422A" w:rsidRDefault="00B33007" w:rsidP="002357D3">
    <w:pPr>
      <w:spacing w:line="200" w:lineRule="exact"/>
      <w:rPr>
        <w:rFonts w:cs="Arial"/>
        <w:color w:val="000000"/>
        <w:sz w:val="16"/>
        <w:szCs w:val="16"/>
      </w:rPr>
    </w:pPr>
    <w:r>
      <w:rPr>
        <w:rFonts w:cs="Arial"/>
        <w:color w:val="000000"/>
        <w:sz w:val="16"/>
        <w:szCs w:val="16"/>
      </w:rPr>
      <w:t xml:space="preserve">Dr </w:t>
    </w:r>
    <w:proofErr w:type="spellStart"/>
    <w:r>
      <w:rPr>
        <w:rFonts w:cs="Arial"/>
        <w:color w:val="000000"/>
        <w:sz w:val="16"/>
        <w:szCs w:val="16"/>
      </w:rPr>
      <w:t>Jagan</w:t>
    </w:r>
    <w:proofErr w:type="spellEnd"/>
    <w:r>
      <w:rPr>
        <w:rFonts w:cs="Arial"/>
        <w:color w:val="000000"/>
        <w:sz w:val="16"/>
        <w:szCs w:val="16"/>
      </w:rPr>
      <w:t xml:space="preserve"> John, Barking and Dagenham Clinical Commissioning Group</w:t>
    </w:r>
  </w:p>
  <w:p w:rsidR="0063422A" w:rsidRDefault="00B33007" w:rsidP="002357D3">
    <w:pPr>
      <w:spacing w:line="200" w:lineRule="exact"/>
      <w:rPr>
        <w:rFonts w:cs="Arial"/>
        <w:color w:val="000000"/>
        <w:sz w:val="16"/>
        <w:szCs w:val="16"/>
      </w:rPr>
    </w:pPr>
    <w:r>
      <w:rPr>
        <w:rFonts w:cs="Arial"/>
        <w:color w:val="000000"/>
        <w:sz w:val="16"/>
        <w:szCs w:val="16"/>
      </w:rPr>
      <w:t>Dr Atul Aggarwal, Havering Clinical Commissioning Group</w:t>
    </w:r>
  </w:p>
  <w:p w:rsidR="0063422A" w:rsidRDefault="00B33007" w:rsidP="002357D3">
    <w:pPr>
      <w:spacing w:line="200" w:lineRule="exact"/>
      <w:rPr>
        <w:rFonts w:cs="Arial"/>
        <w:color w:val="000000"/>
        <w:sz w:val="16"/>
        <w:szCs w:val="16"/>
      </w:rPr>
    </w:pPr>
    <w:r>
      <w:rPr>
        <w:rFonts w:cs="Arial"/>
        <w:color w:val="000000"/>
        <w:sz w:val="16"/>
        <w:szCs w:val="16"/>
      </w:rPr>
      <w:t>Dr Anil Mehta, Redbridge Clinical Commissioning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CD9" w:rsidRDefault="00422CD9" w:rsidP="007E6061">
      <w:r>
        <w:separator/>
      </w:r>
    </w:p>
  </w:footnote>
  <w:footnote w:type="continuationSeparator" w:id="0">
    <w:p w:rsidR="00422CD9" w:rsidRDefault="00422CD9" w:rsidP="007E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2A" w:rsidRDefault="00495973" w:rsidP="00F94CDD">
    <w:pPr>
      <w:pStyle w:val="Header"/>
      <w:tabs>
        <w:tab w:val="right" w:pos="9978"/>
      </w:tabs>
    </w:pPr>
    <w:r>
      <w:rPr>
        <w:noProof/>
        <w:lang w:eastAsia="en-GB"/>
      </w:rPr>
      <w:drawing>
        <wp:anchor distT="0" distB="0" distL="114300" distR="114300" simplePos="0" relativeHeight="251666432" behindDoc="1" locked="0" layoutInCell="1" allowOverlap="1">
          <wp:simplePos x="0" y="0"/>
          <wp:positionH relativeFrom="column">
            <wp:posOffset>-91440</wp:posOffset>
          </wp:positionH>
          <wp:positionV relativeFrom="page">
            <wp:posOffset>91440</wp:posOffset>
          </wp:positionV>
          <wp:extent cx="647954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95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3007">
      <w:tab/>
    </w:r>
  </w:p>
  <w:p w:rsidR="0063422A" w:rsidRDefault="00164ABB" w:rsidP="00D244A1">
    <w:pPr>
      <w:pStyle w:val="Header"/>
    </w:pPr>
  </w:p>
  <w:p w:rsidR="0063422A" w:rsidRDefault="00164ABB" w:rsidP="00AC649F">
    <w:pPr>
      <w:pStyle w:val="Header"/>
      <w:jc w:val="right"/>
    </w:pPr>
  </w:p>
  <w:p w:rsidR="0063422A" w:rsidRDefault="00164ABB" w:rsidP="00AC649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249B3"/>
    <w:multiLevelType w:val="hybridMultilevel"/>
    <w:tmpl w:val="31F267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611C"/>
    <w:multiLevelType w:val="hybridMultilevel"/>
    <w:tmpl w:val="7FD8F818"/>
    <w:lvl w:ilvl="0" w:tplc="0809000F">
      <w:start w:val="1"/>
      <w:numFmt w:val="decimal"/>
      <w:lvlText w:val="%1."/>
      <w:lvlJc w:val="left"/>
      <w:pPr>
        <w:ind w:left="720" w:hanging="360"/>
      </w:pPr>
    </w:lvl>
    <w:lvl w:ilvl="1" w:tplc="5DBA0E4C">
      <w:start w:val="1"/>
      <w:numFmt w:val="bullet"/>
      <w:lvlText w:val="□"/>
      <w:lvlJc w:val="left"/>
      <w:pPr>
        <w:ind w:left="1440" w:hanging="360"/>
      </w:pPr>
      <w:rPr>
        <w:rFonts w:ascii="Arial" w:hAnsi="Arial" w:hint="default"/>
        <w:sz w:val="28"/>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A5F2E2B"/>
    <w:multiLevelType w:val="hybridMultilevel"/>
    <w:tmpl w:val="CB52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5A6955"/>
    <w:multiLevelType w:val="hybridMultilevel"/>
    <w:tmpl w:val="77C8B990"/>
    <w:lvl w:ilvl="0" w:tplc="5DBA0E4C">
      <w:start w:val="1"/>
      <w:numFmt w:val="bullet"/>
      <w:lvlText w:val="□"/>
      <w:lvlJc w:val="left"/>
      <w:pPr>
        <w:ind w:left="360" w:hanging="360"/>
      </w:pPr>
      <w:rPr>
        <w:rFonts w:ascii="Arial"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07BE7"/>
    <w:multiLevelType w:val="hybridMultilevel"/>
    <w:tmpl w:val="C2EC4BB6"/>
    <w:lvl w:ilvl="0" w:tplc="5DBA0E4C">
      <w:start w:val="1"/>
      <w:numFmt w:val="bullet"/>
      <w:lvlText w:val="□"/>
      <w:lvlJc w:val="left"/>
      <w:pPr>
        <w:ind w:left="360" w:hanging="360"/>
      </w:pPr>
      <w:rPr>
        <w:rFonts w:ascii="Arial" w:hAnsi="Arial" w:hint="default"/>
        <w:sz w:val="28"/>
      </w:rPr>
    </w:lvl>
    <w:lvl w:ilvl="1" w:tplc="03CCE6AA">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E1A6D44"/>
    <w:multiLevelType w:val="hybridMultilevel"/>
    <w:tmpl w:val="351A74AC"/>
    <w:lvl w:ilvl="0" w:tplc="5DBA0E4C">
      <w:start w:val="1"/>
      <w:numFmt w:val="bullet"/>
      <w:lvlText w:val="□"/>
      <w:lvlJc w:val="left"/>
      <w:pPr>
        <w:ind w:left="360" w:hanging="360"/>
      </w:pPr>
      <w:rPr>
        <w:rFonts w:ascii="Arial"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764F51"/>
    <w:multiLevelType w:val="hybridMultilevel"/>
    <w:tmpl w:val="4DEE33E2"/>
    <w:lvl w:ilvl="0" w:tplc="5DBA0E4C">
      <w:start w:val="1"/>
      <w:numFmt w:val="bullet"/>
      <w:lvlText w:val="□"/>
      <w:lvlJc w:val="left"/>
      <w:pPr>
        <w:ind w:left="360" w:hanging="360"/>
      </w:pPr>
      <w:rPr>
        <w:rFonts w:ascii="Arial" w:hAnsi="Aria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dvHdolIh2XoGw3HpOE+67/I+2RLWPY3Q1YNvAjAPOy1BXRElQ2RxWHokEUvLy9duqZelXZydsxCiaHtwUhZB0w==" w:salt="gPZxAqx5Btrasqdm8EdEew=="/>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5D4"/>
    <w:rsid w:val="00015DFC"/>
    <w:rsid w:val="000427CD"/>
    <w:rsid w:val="00061602"/>
    <w:rsid w:val="00072568"/>
    <w:rsid w:val="000C4BB2"/>
    <w:rsid w:val="0010637B"/>
    <w:rsid w:val="001375C4"/>
    <w:rsid w:val="00140F4B"/>
    <w:rsid w:val="00164ABB"/>
    <w:rsid w:val="00184DF1"/>
    <w:rsid w:val="001F1643"/>
    <w:rsid w:val="001F2D51"/>
    <w:rsid w:val="00237C3F"/>
    <w:rsid w:val="0028652B"/>
    <w:rsid w:val="002A173A"/>
    <w:rsid w:val="002B5060"/>
    <w:rsid w:val="002B7A7A"/>
    <w:rsid w:val="00313955"/>
    <w:rsid w:val="003316B7"/>
    <w:rsid w:val="00367B3D"/>
    <w:rsid w:val="0038010A"/>
    <w:rsid w:val="00394F5C"/>
    <w:rsid w:val="003F74EC"/>
    <w:rsid w:val="00422CD9"/>
    <w:rsid w:val="00423D6F"/>
    <w:rsid w:val="00464364"/>
    <w:rsid w:val="004754C8"/>
    <w:rsid w:val="00495973"/>
    <w:rsid w:val="00507CD0"/>
    <w:rsid w:val="005129DC"/>
    <w:rsid w:val="0052073C"/>
    <w:rsid w:val="0053589A"/>
    <w:rsid w:val="00542F35"/>
    <w:rsid w:val="00582888"/>
    <w:rsid w:val="005A4044"/>
    <w:rsid w:val="005E159C"/>
    <w:rsid w:val="00690B12"/>
    <w:rsid w:val="006B5DD9"/>
    <w:rsid w:val="006B77F2"/>
    <w:rsid w:val="006C40ED"/>
    <w:rsid w:val="006C49D0"/>
    <w:rsid w:val="006F5BF3"/>
    <w:rsid w:val="00771371"/>
    <w:rsid w:val="00794D40"/>
    <w:rsid w:val="007A35E5"/>
    <w:rsid w:val="007A488E"/>
    <w:rsid w:val="007E6061"/>
    <w:rsid w:val="007F69BD"/>
    <w:rsid w:val="008265D4"/>
    <w:rsid w:val="0084763F"/>
    <w:rsid w:val="008D2B32"/>
    <w:rsid w:val="008D649D"/>
    <w:rsid w:val="008E0BE7"/>
    <w:rsid w:val="008E20E1"/>
    <w:rsid w:val="00915011"/>
    <w:rsid w:val="00952D1F"/>
    <w:rsid w:val="00972C40"/>
    <w:rsid w:val="00990458"/>
    <w:rsid w:val="009C2954"/>
    <w:rsid w:val="009F1E8B"/>
    <w:rsid w:val="00A03397"/>
    <w:rsid w:val="00A50DBB"/>
    <w:rsid w:val="00A66B9B"/>
    <w:rsid w:val="00A95CD4"/>
    <w:rsid w:val="00AA5994"/>
    <w:rsid w:val="00AE7633"/>
    <w:rsid w:val="00AF5BB6"/>
    <w:rsid w:val="00B02289"/>
    <w:rsid w:val="00B26510"/>
    <w:rsid w:val="00B33007"/>
    <w:rsid w:val="00B43597"/>
    <w:rsid w:val="00B51795"/>
    <w:rsid w:val="00B66794"/>
    <w:rsid w:val="00BA1A82"/>
    <w:rsid w:val="00BD0449"/>
    <w:rsid w:val="00BD6DC7"/>
    <w:rsid w:val="00BF50B1"/>
    <w:rsid w:val="00CB1FD4"/>
    <w:rsid w:val="00CB3A2C"/>
    <w:rsid w:val="00CB62B2"/>
    <w:rsid w:val="00D0314D"/>
    <w:rsid w:val="00D16C8C"/>
    <w:rsid w:val="00D21D9D"/>
    <w:rsid w:val="00D6053D"/>
    <w:rsid w:val="00D6590A"/>
    <w:rsid w:val="00E85162"/>
    <w:rsid w:val="00EA2A62"/>
    <w:rsid w:val="00EE525A"/>
    <w:rsid w:val="00F505C6"/>
    <w:rsid w:val="00F82ACD"/>
    <w:rsid w:val="00F93AAD"/>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B321F31E-1D0D-46CD-91F8-E476B77A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5D4"/>
    <w:pPr>
      <w:autoSpaceDE w:val="0"/>
      <w:autoSpaceDN w:val="0"/>
      <w:adjustRightInd w:val="0"/>
    </w:pPr>
    <w:rPr>
      <w:rFonts w:cs="Arial"/>
      <w:color w:val="000000"/>
      <w:sz w:val="24"/>
      <w:szCs w:val="24"/>
    </w:rPr>
  </w:style>
  <w:style w:type="table" w:styleId="TableGrid">
    <w:name w:val="Table Grid"/>
    <w:basedOn w:val="TableNormal"/>
    <w:uiPriority w:val="39"/>
    <w:rsid w:val="00826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E6061"/>
    <w:pPr>
      <w:tabs>
        <w:tab w:val="center" w:pos="4513"/>
        <w:tab w:val="right" w:pos="9026"/>
      </w:tabs>
    </w:pPr>
  </w:style>
  <w:style w:type="character" w:customStyle="1" w:styleId="HeaderChar">
    <w:name w:val="Header Char"/>
    <w:basedOn w:val="DefaultParagraphFont"/>
    <w:link w:val="Header"/>
    <w:uiPriority w:val="99"/>
    <w:rsid w:val="007E6061"/>
  </w:style>
  <w:style w:type="paragraph" w:styleId="Footer">
    <w:name w:val="footer"/>
    <w:basedOn w:val="Normal"/>
    <w:link w:val="FooterChar"/>
    <w:uiPriority w:val="99"/>
    <w:unhideWhenUsed/>
    <w:rsid w:val="007E6061"/>
    <w:pPr>
      <w:tabs>
        <w:tab w:val="center" w:pos="4513"/>
        <w:tab w:val="right" w:pos="9026"/>
      </w:tabs>
    </w:pPr>
  </w:style>
  <w:style w:type="character" w:customStyle="1" w:styleId="FooterChar">
    <w:name w:val="Footer Char"/>
    <w:basedOn w:val="DefaultParagraphFont"/>
    <w:link w:val="Footer"/>
    <w:uiPriority w:val="99"/>
    <w:rsid w:val="007E6061"/>
  </w:style>
  <w:style w:type="character" w:styleId="Hyperlink">
    <w:name w:val="Hyperlink"/>
    <w:basedOn w:val="DefaultParagraphFont"/>
    <w:uiPriority w:val="99"/>
    <w:unhideWhenUsed/>
    <w:rsid w:val="00D0314D"/>
    <w:rPr>
      <w:color w:val="0563C1" w:themeColor="hyperlink"/>
      <w:u w:val="single"/>
    </w:rPr>
  </w:style>
  <w:style w:type="character" w:styleId="FollowedHyperlink">
    <w:name w:val="FollowedHyperlink"/>
    <w:basedOn w:val="DefaultParagraphFont"/>
    <w:uiPriority w:val="99"/>
    <w:semiHidden/>
    <w:unhideWhenUsed/>
    <w:rsid w:val="004754C8"/>
    <w:rPr>
      <w:color w:val="954F72" w:themeColor="followedHyperlink"/>
      <w:u w:val="single"/>
    </w:rPr>
  </w:style>
  <w:style w:type="paragraph" w:styleId="ListParagraph">
    <w:name w:val="List Paragraph"/>
    <w:basedOn w:val="Normal"/>
    <w:uiPriority w:val="34"/>
    <w:qFormat/>
    <w:rsid w:val="00771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29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5476/Adrenaline_auto_injectors_in_school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336A-3212-4245-8836-2EE1D5BA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2582</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BHRCCGs</Company>
  <LinksUpToDate>false</LinksUpToDate>
  <CharactersWithSpaces>3028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Sanjay - QIPP Programme Pharmacist</dc:creator>
  <cp:keywords/>
  <dc:description/>
  <cp:lastModifiedBy>Patel Sanjay - QIPP Programme Pharmacist</cp:lastModifiedBy>
  <cp:revision>4</cp:revision>
  <cp:lastPrinted>2018-08-07T14:32:00Z</cp:lastPrinted>
  <dcterms:created xsi:type="dcterms:W3CDTF">2018-08-07T14:33:00Z</dcterms:created>
  <dcterms:modified xsi:type="dcterms:W3CDTF">2018-08-07T14:34:00Z</dcterms:modified>
</cp:coreProperties>
</file>