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980"/>
        <w:gridCol w:w="2528"/>
        <w:gridCol w:w="3284"/>
        <w:gridCol w:w="1224"/>
      </w:tblGrid>
      <w:tr w:rsidR="00794EBA" w:rsidRPr="0041272F" w:rsidTr="00FF43DF">
        <w:tc>
          <w:tcPr>
            <w:tcW w:w="9016" w:type="dxa"/>
            <w:gridSpan w:val="4"/>
            <w:shd w:val="clear" w:color="auto" w:fill="92D050"/>
          </w:tcPr>
          <w:p w:rsidR="00794EBA" w:rsidRPr="00510C6F" w:rsidRDefault="00E51F8F" w:rsidP="00794EBA">
            <w:pPr>
              <w:pStyle w:val="Heading1"/>
            </w:pPr>
            <w:bookmarkStart w:id="0" w:name="_Glycopyrronium_Bromide"/>
            <w:bookmarkStart w:id="1" w:name="_GoBack"/>
            <w:bookmarkEnd w:id="0"/>
            <w:bookmarkEnd w:id="1"/>
            <w:r>
              <w:t>Glycopyrronium Bromide</w:t>
            </w:r>
          </w:p>
        </w:tc>
      </w:tr>
      <w:tr w:rsidR="00FF43DF" w:rsidRPr="0041272F" w:rsidTr="00FF43DF">
        <w:trPr>
          <w:trHeight w:val="278"/>
        </w:trPr>
        <w:tc>
          <w:tcPr>
            <w:tcW w:w="1980" w:type="dxa"/>
            <w:vMerge w:val="restart"/>
            <w:shd w:val="clear" w:color="auto" w:fill="00B0F0"/>
          </w:tcPr>
          <w:p w:rsidR="00FF43DF" w:rsidRPr="00F4340C" w:rsidRDefault="00FF43DF" w:rsidP="00794EBA">
            <w:r w:rsidRPr="00F4340C">
              <w:t>Preparations listed in the Drug tariff</w:t>
            </w:r>
            <w:r w:rsidR="00FA61A4" w:rsidRPr="00F4340C">
              <w:t xml:space="preserve"> (DT)</w:t>
            </w:r>
          </w:p>
          <w:p w:rsidR="00FA61A4" w:rsidRPr="00F4340C" w:rsidRDefault="00FA61A4" w:rsidP="00794EBA">
            <w:pPr>
              <w:rPr>
                <w:b/>
              </w:rPr>
            </w:pPr>
          </w:p>
          <w:p w:rsidR="00FA61A4" w:rsidRPr="00F4340C" w:rsidRDefault="00FA61A4" w:rsidP="00794EBA">
            <w:pPr>
              <w:rPr>
                <w:b/>
              </w:rPr>
            </w:pPr>
            <w:r w:rsidRPr="00F4340C">
              <w:rPr>
                <w:b/>
              </w:rPr>
              <w:t>Hover the mouse over the £ sign for DT prices</w:t>
            </w:r>
          </w:p>
        </w:tc>
        <w:tc>
          <w:tcPr>
            <w:tcW w:w="5812" w:type="dxa"/>
            <w:gridSpan w:val="2"/>
          </w:tcPr>
          <w:p w:rsidR="00FF43DF" w:rsidRPr="00F4340C" w:rsidRDefault="00D44582" w:rsidP="00794EBA">
            <w:pPr>
              <w:rPr>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FF43DF" w:rsidRPr="00F4340C">
                <w:rPr>
                  <w:rStyle w:val="Hyperlink"/>
                  <w:b/>
                </w:rPr>
                <w:t>Part VIIIA (hover the mouse here for more info):</w:t>
              </w:r>
            </w:hyperlink>
          </w:p>
        </w:tc>
        <w:tc>
          <w:tcPr>
            <w:tcW w:w="1224" w:type="dxa"/>
          </w:tcPr>
          <w:p w:rsidR="00FF43DF" w:rsidRPr="00F4340C" w:rsidRDefault="00FF43DF" w:rsidP="00794EBA">
            <w:r w:rsidRPr="00F4340C">
              <w:rPr>
                <w:b/>
              </w:rPr>
              <w:t>DT price</w:t>
            </w:r>
          </w:p>
        </w:tc>
      </w:tr>
      <w:tr w:rsidR="00FF43DF" w:rsidRPr="0041272F" w:rsidTr="00FF43DF">
        <w:trPr>
          <w:trHeight w:val="278"/>
        </w:trPr>
        <w:tc>
          <w:tcPr>
            <w:tcW w:w="1980" w:type="dxa"/>
            <w:vMerge/>
            <w:shd w:val="clear" w:color="auto" w:fill="00B0F0"/>
          </w:tcPr>
          <w:p w:rsidR="00FF43DF" w:rsidRPr="00F4340C" w:rsidRDefault="00FF43DF" w:rsidP="00794EBA"/>
        </w:tc>
        <w:tc>
          <w:tcPr>
            <w:tcW w:w="5812" w:type="dxa"/>
            <w:gridSpan w:val="2"/>
          </w:tcPr>
          <w:p w:rsidR="00FF43DF" w:rsidRPr="00F4340C" w:rsidRDefault="00FF43DF" w:rsidP="0039078E">
            <w:r w:rsidRPr="00F4340C">
              <w:t>Glycopyrronium bromide 1mg, 2mg tablets</w:t>
            </w:r>
          </w:p>
        </w:tc>
        <w:tc>
          <w:tcPr>
            <w:tcW w:w="1224" w:type="dxa"/>
          </w:tcPr>
          <w:p w:rsidR="00FF43DF" w:rsidRPr="00F4340C" w:rsidRDefault="00D44582" w:rsidP="00FA61A4">
            <w:pPr>
              <w:jc w:val="center"/>
              <w:rPr>
                <w:b/>
              </w:rPr>
            </w:pPr>
            <w:hyperlink w:anchor="_Glycopyrronium_Bromide" w:tooltip="£230.71 for 30 x 1mg tabs, £254.22 for 30 x 2mg tabs" w:history="1">
              <w:r w:rsidR="00FA61A4" w:rsidRPr="00F4340C">
                <w:rPr>
                  <w:rStyle w:val="Hyperlink"/>
                  <w:b/>
                </w:rPr>
                <w:t>£</w:t>
              </w:r>
            </w:hyperlink>
          </w:p>
        </w:tc>
      </w:tr>
      <w:tr w:rsidR="00FF43DF" w:rsidRPr="0041272F" w:rsidTr="00FF43DF">
        <w:trPr>
          <w:trHeight w:val="278"/>
        </w:trPr>
        <w:tc>
          <w:tcPr>
            <w:tcW w:w="1980" w:type="dxa"/>
            <w:vMerge/>
            <w:shd w:val="clear" w:color="auto" w:fill="00B0F0"/>
          </w:tcPr>
          <w:p w:rsidR="00FF43DF" w:rsidRPr="00F4340C" w:rsidRDefault="00FF43DF" w:rsidP="00794EBA"/>
        </w:tc>
        <w:tc>
          <w:tcPr>
            <w:tcW w:w="5812" w:type="dxa"/>
            <w:gridSpan w:val="2"/>
          </w:tcPr>
          <w:p w:rsidR="00FF43DF" w:rsidRPr="00F4340C" w:rsidRDefault="00FF43DF" w:rsidP="0039078E">
            <w:r w:rsidRPr="00F4340C">
              <w:t>Glycopyrronium bromide 400mcg/ml, 1mg/5ml oral solution sugar free</w:t>
            </w:r>
          </w:p>
        </w:tc>
        <w:tc>
          <w:tcPr>
            <w:tcW w:w="1224" w:type="dxa"/>
          </w:tcPr>
          <w:p w:rsidR="00FF43DF" w:rsidRPr="00F4340C" w:rsidRDefault="00D44582" w:rsidP="00FA61A4">
            <w:pPr>
              <w:jc w:val="center"/>
            </w:pPr>
            <w:hyperlink w:anchor="_Glycopyrronium_Bromide" w:tooltip="£320 for 250ml (400cg/ml), £91 for 150ml (1mg/5ml)" w:history="1">
              <w:r w:rsidR="00FA61A4" w:rsidRPr="00F4340C">
                <w:rPr>
                  <w:rStyle w:val="Hyperlink"/>
                  <w:b/>
                </w:rPr>
                <w:t>£</w:t>
              </w:r>
            </w:hyperlink>
          </w:p>
        </w:tc>
      </w:tr>
      <w:tr w:rsidR="00FF43DF" w:rsidRPr="0041272F" w:rsidTr="00FF43DF">
        <w:trPr>
          <w:trHeight w:val="278"/>
        </w:trPr>
        <w:tc>
          <w:tcPr>
            <w:tcW w:w="1980" w:type="dxa"/>
            <w:vMerge/>
            <w:shd w:val="clear" w:color="auto" w:fill="00B0F0"/>
          </w:tcPr>
          <w:p w:rsidR="00FF43DF" w:rsidRPr="00F4340C" w:rsidRDefault="00FF43DF" w:rsidP="00794EBA"/>
        </w:tc>
        <w:tc>
          <w:tcPr>
            <w:tcW w:w="5812" w:type="dxa"/>
            <w:gridSpan w:val="2"/>
          </w:tcPr>
          <w:p w:rsidR="00FF43DF" w:rsidRPr="00F4340C" w:rsidRDefault="00D44582" w:rsidP="0039078E">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FF43DF" w:rsidRPr="00F4340C">
                <w:rPr>
                  <w:rStyle w:val="Hyperlink"/>
                  <w:b/>
                </w:rPr>
                <w:t>Part VIIIB (hover the mouse here for more info):</w:t>
              </w:r>
            </w:hyperlink>
          </w:p>
        </w:tc>
        <w:tc>
          <w:tcPr>
            <w:tcW w:w="1224" w:type="dxa"/>
          </w:tcPr>
          <w:p w:rsidR="00FF43DF" w:rsidRPr="00F4340C" w:rsidRDefault="00FF43DF" w:rsidP="00794EBA">
            <w:r w:rsidRPr="00F4340C">
              <w:rPr>
                <w:b/>
              </w:rPr>
              <w:t>DT price</w:t>
            </w:r>
          </w:p>
        </w:tc>
      </w:tr>
      <w:tr w:rsidR="00FF43DF" w:rsidRPr="0041272F" w:rsidTr="00FF43DF">
        <w:trPr>
          <w:trHeight w:val="278"/>
        </w:trPr>
        <w:tc>
          <w:tcPr>
            <w:tcW w:w="1980" w:type="dxa"/>
            <w:vMerge/>
            <w:shd w:val="clear" w:color="auto" w:fill="00B0F0"/>
          </w:tcPr>
          <w:p w:rsidR="00FF43DF" w:rsidRPr="00F4340C" w:rsidRDefault="00FF43DF" w:rsidP="00794EBA"/>
        </w:tc>
        <w:tc>
          <w:tcPr>
            <w:tcW w:w="5812" w:type="dxa"/>
            <w:gridSpan w:val="2"/>
          </w:tcPr>
          <w:p w:rsidR="00FF43DF" w:rsidRPr="00F4340C" w:rsidRDefault="00FF43DF" w:rsidP="0039078E">
            <w:r w:rsidRPr="00F4340C">
              <w:t>Glycopyrronium bromide 200mcg/5ml, 500mcg/5ml, 2.5mg/5ml, 5mg/5ml oral solution</w:t>
            </w:r>
          </w:p>
        </w:tc>
        <w:tc>
          <w:tcPr>
            <w:tcW w:w="1224" w:type="dxa"/>
          </w:tcPr>
          <w:p w:rsidR="00FF43DF" w:rsidRPr="00F4340C" w:rsidRDefault="00D44582" w:rsidP="00FA61A4">
            <w:pPr>
              <w:jc w:val="center"/>
            </w:pPr>
            <w:hyperlink w:anchor="_Glycopyrronium_Bromide" w:tooltip="£63.52 for 100ml (200mcg/5ml), £74.77 for 100ml (500cg/5ml), £301.48 for 100ml (2.5mg/5ml), £46.49 for 100ml (5mg/5ml)" w:history="1">
              <w:r w:rsidR="00FA61A4" w:rsidRPr="00F4340C">
                <w:rPr>
                  <w:rStyle w:val="Hyperlink"/>
                  <w:b/>
                </w:rPr>
                <w:t>£</w:t>
              </w:r>
            </w:hyperlink>
          </w:p>
        </w:tc>
      </w:tr>
      <w:tr w:rsidR="00FF43DF" w:rsidRPr="0041272F" w:rsidTr="00FF43DF">
        <w:trPr>
          <w:trHeight w:val="278"/>
        </w:trPr>
        <w:tc>
          <w:tcPr>
            <w:tcW w:w="1980" w:type="dxa"/>
            <w:vMerge/>
            <w:shd w:val="clear" w:color="auto" w:fill="00B0F0"/>
          </w:tcPr>
          <w:p w:rsidR="00FF43DF" w:rsidRPr="00F4340C" w:rsidRDefault="00FF43DF" w:rsidP="00794EBA"/>
        </w:tc>
        <w:tc>
          <w:tcPr>
            <w:tcW w:w="5812" w:type="dxa"/>
            <w:gridSpan w:val="2"/>
          </w:tcPr>
          <w:p w:rsidR="00FF43DF" w:rsidRPr="00F4340C" w:rsidRDefault="00FF43DF" w:rsidP="0039078E">
            <w:r w:rsidRPr="00F4340C">
              <w:t>Glycopyrronium bromide 200mcg/5ml, 500mcg/5ml, 2.5mg/5ml, 5mg/5ml oral suspension</w:t>
            </w:r>
          </w:p>
        </w:tc>
        <w:tc>
          <w:tcPr>
            <w:tcW w:w="1224" w:type="dxa"/>
          </w:tcPr>
          <w:p w:rsidR="00FF43DF" w:rsidRPr="00F4340C" w:rsidRDefault="00D44582" w:rsidP="00FA61A4">
            <w:pPr>
              <w:jc w:val="center"/>
            </w:pPr>
            <w:hyperlink w:anchor="_Glycopyrronium_Bromide" w:tooltip="£33.60 for 100ml (200mcg/5ml), £77.98 for 300ml (500mcg/5ml), £81.76 for 200ml (2.5mg/5ml), £22.86 for 50ml (5mg/5ml) " w:history="1">
              <w:r w:rsidR="00FA61A4" w:rsidRPr="00F4340C">
                <w:rPr>
                  <w:rStyle w:val="Hyperlink"/>
                  <w:b/>
                </w:rPr>
                <w:t>£</w:t>
              </w:r>
            </w:hyperlink>
          </w:p>
        </w:tc>
      </w:tr>
      <w:tr w:rsidR="00794EBA" w:rsidRPr="0041272F" w:rsidTr="00FF43DF">
        <w:tc>
          <w:tcPr>
            <w:tcW w:w="9016" w:type="dxa"/>
            <w:gridSpan w:val="4"/>
            <w:shd w:val="clear" w:color="auto" w:fill="FFFF00"/>
          </w:tcPr>
          <w:p w:rsidR="00794EBA" w:rsidRPr="00F4340C" w:rsidRDefault="00794EBA" w:rsidP="00794EBA">
            <w:r w:rsidRPr="00F4340C">
              <w:t>Administration in swallowing difficulties</w:t>
            </w:r>
          </w:p>
        </w:tc>
      </w:tr>
      <w:tr w:rsidR="00794EBA" w:rsidRPr="0041272F" w:rsidTr="00FF43DF">
        <w:tc>
          <w:tcPr>
            <w:tcW w:w="9016" w:type="dxa"/>
            <w:gridSpan w:val="4"/>
            <w:shd w:val="clear" w:color="auto" w:fill="auto"/>
          </w:tcPr>
          <w:p w:rsidR="00794EBA" w:rsidRPr="00F4340C" w:rsidRDefault="00FE7E55" w:rsidP="00FE7E55">
            <w:pPr>
              <w:rPr>
                <w:vertAlign w:val="superscript"/>
              </w:rPr>
            </w:pPr>
            <w:r w:rsidRPr="00F4340C">
              <w:t xml:space="preserve">Draw the oral solution using the </w:t>
            </w:r>
            <w:r w:rsidR="00D82A51" w:rsidRPr="00F4340C">
              <w:t xml:space="preserve">oral </w:t>
            </w:r>
            <w:r w:rsidRPr="00F4340C">
              <w:t xml:space="preserve">syringe </w:t>
            </w:r>
            <w:r w:rsidR="00D82A51" w:rsidRPr="00F4340C">
              <w:t xml:space="preserve">and syringe adaptor </w:t>
            </w:r>
            <w:r w:rsidRPr="00F4340C">
              <w:t>included in the pack</w:t>
            </w:r>
            <w:r w:rsidR="00D82A51" w:rsidRPr="00F4340C">
              <w:t xml:space="preserve"> then administer</w:t>
            </w:r>
            <w:r w:rsidR="00D82A51" w:rsidRPr="00F4340C">
              <w:rPr>
                <w:vertAlign w:val="superscript"/>
              </w:rPr>
              <w:t>1,2</w:t>
            </w:r>
          </w:p>
          <w:p w:rsidR="00F4340C" w:rsidRPr="00F4340C" w:rsidRDefault="00F4340C" w:rsidP="00FE7E55"/>
          <w:p w:rsidR="009449D9" w:rsidRPr="00F4340C" w:rsidRDefault="009449D9" w:rsidP="00FE7E55">
            <w:r w:rsidRPr="00F4340C">
              <w:t>Refer to Comments section for food interaction.</w:t>
            </w:r>
          </w:p>
        </w:tc>
      </w:tr>
      <w:tr w:rsidR="00794EBA" w:rsidRPr="0041272F" w:rsidTr="00FF43DF">
        <w:tc>
          <w:tcPr>
            <w:tcW w:w="9016" w:type="dxa"/>
            <w:gridSpan w:val="4"/>
            <w:shd w:val="clear" w:color="auto" w:fill="FFC000"/>
          </w:tcPr>
          <w:p w:rsidR="00794EBA" w:rsidRPr="00F4340C" w:rsidRDefault="00794EBA" w:rsidP="00794EBA">
            <w:r w:rsidRPr="00F4340C">
              <w:t>Administration in enteral feeding tube</w:t>
            </w:r>
          </w:p>
        </w:tc>
      </w:tr>
      <w:tr w:rsidR="00794EBA" w:rsidRPr="0041272F" w:rsidTr="00FF43DF">
        <w:tc>
          <w:tcPr>
            <w:tcW w:w="9016" w:type="dxa"/>
            <w:gridSpan w:val="4"/>
            <w:shd w:val="clear" w:color="auto" w:fill="auto"/>
          </w:tcPr>
          <w:p w:rsidR="00794EBA" w:rsidRPr="00F4340C" w:rsidRDefault="009A7A44" w:rsidP="00794EBA">
            <w:r w:rsidRPr="00F4340C">
              <w:t>Draw the oral solution using the oral syringe and syringe adaptor included in the pack then administer</w:t>
            </w:r>
            <w:r w:rsidRPr="00F4340C">
              <w:rPr>
                <w:vertAlign w:val="superscript"/>
              </w:rPr>
              <w:t>1,2</w:t>
            </w:r>
            <w:r w:rsidRPr="00F4340C">
              <w:t xml:space="preserve">. </w:t>
            </w:r>
          </w:p>
          <w:p w:rsidR="00F4340C" w:rsidRPr="00F4340C" w:rsidRDefault="00F4340C" w:rsidP="00794EBA"/>
          <w:p w:rsidR="009A7A44" w:rsidRPr="00F4340C" w:rsidRDefault="009A7A44" w:rsidP="00794EBA">
            <w:r w:rsidRPr="00F4340C">
              <w:t>If using the 400mcg/ml oral solution, flush with 10ml of water immediately after giving the dose</w:t>
            </w:r>
            <w:r w:rsidR="009449D9" w:rsidRPr="00F4340C">
              <w:rPr>
                <w:vertAlign w:val="superscript"/>
              </w:rPr>
              <w:t>1</w:t>
            </w:r>
            <w:r w:rsidRPr="00F4340C">
              <w:t>.</w:t>
            </w:r>
          </w:p>
          <w:p w:rsidR="00F4340C" w:rsidRPr="00F4340C" w:rsidRDefault="00F4340C" w:rsidP="009A7A44"/>
          <w:p w:rsidR="009A7A44" w:rsidRPr="00F4340C" w:rsidRDefault="009A7A44" w:rsidP="009A7A44">
            <w:r w:rsidRPr="00F4340C">
              <w:t>If using the 1g/5ml oral solution, flush with 20ml of water immediately after giving the dose</w:t>
            </w:r>
            <w:r w:rsidR="009449D9" w:rsidRPr="00F4340C">
              <w:rPr>
                <w:vertAlign w:val="superscript"/>
              </w:rPr>
              <w:t>2</w:t>
            </w:r>
            <w:r w:rsidRPr="00F4340C">
              <w:t>.</w:t>
            </w:r>
          </w:p>
          <w:p w:rsidR="00F4340C" w:rsidRPr="00F4340C" w:rsidRDefault="00F4340C" w:rsidP="00794EBA"/>
          <w:p w:rsidR="009A7A44" w:rsidRPr="00F4340C" w:rsidRDefault="009449D9" w:rsidP="00794EBA">
            <w:r w:rsidRPr="00F4340C">
              <w:t>Refer to Comments section for food interaction.</w:t>
            </w:r>
          </w:p>
        </w:tc>
      </w:tr>
      <w:tr w:rsidR="00794EBA" w:rsidRPr="0041272F" w:rsidTr="00FF43DF">
        <w:tc>
          <w:tcPr>
            <w:tcW w:w="9016" w:type="dxa"/>
            <w:gridSpan w:val="4"/>
            <w:shd w:val="clear" w:color="auto" w:fill="FF0000"/>
          </w:tcPr>
          <w:p w:rsidR="00794EBA" w:rsidRPr="00F4340C" w:rsidRDefault="00794EBA" w:rsidP="00794EBA">
            <w:r w:rsidRPr="00F4340C">
              <w:t>Comments</w:t>
            </w:r>
          </w:p>
        </w:tc>
      </w:tr>
      <w:tr w:rsidR="00794EBA" w:rsidRPr="0041272F" w:rsidTr="00FF43DF">
        <w:tc>
          <w:tcPr>
            <w:tcW w:w="9016" w:type="dxa"/>
            <w:gridSpan w:val="4"/>
          </w:tcPr>
          <w:p w:rsidR="00794EBA" w:rsidRPr="00F4340C" w:rsidRDefault="00134D3A" w:rsidP="00794EBA">
            <w:r w:rsidRPr="00F4340C">
              <w:t>High fat food should be avoided. The presence of high fat food reduces the oral bioavailability of glycopyrronium bromide if given shortly after a meal. Therefore, it should be given at least one hour before or two hours after meals. If patient’s specific needs determine that co-administration with food is required, dosing of the medicine should be consistently performed during food intake</w:t>
            </w:r>
            <w:r w:rsidRPr="00F4340C">
              <w:rPr>
                <w:vertAlign w:val="superscript"/>
              </w:rPr>
              <w:t>1,2</w:t>
            </w:r>
            <w:r w:rsidRPr="00F4340C">
              <w:t>.</w:t>
            </w:r>
          </w:p>
        </w:tc>
      </w:tr>
      <w:tr w:rsidR="00794EBA" w:rsidRPr="0041272F" w:rsidTr="00FF43DF">
        <w:tc>
          <w:tcPr>
            <w:tcW w:w="9016" w:type="dxa"/>
            <w:gridSpan w:val="4"/>
          </w:tcPr>
          <w:p w:rsidR="00794EBA" w:rsidRPr="0059443C" w:rsidRDefault="00794EBA" w:rsidP="00794EBA">
            <w:r w:rsidRPr="0059443C">
              <w:t>References</w:t>
            </w:r>
          </w:p>
          <w:p w:rsidR="00FE7E55" w:rsidRPr="0059443C" w:rsidRDefault="00FE7E55" w:rsidP="00A74535">
            <w:pPr>
              <w:pStyle w:val="ListParagraph"/>
              <w:numPr>
                <w:ilvl w:val="0"/>
                <w:numId w:val="6"/>
              </w:numPr>
              <w:ind w:left="313" w:hanging="284"/>
            </w:pPr>
            <w:r w:rsidRPr="0059443C">
              <w:t xml:space="preserve">Summary of Product Characteristics Sialanar 320mcg/ml glycopyrronium (400mcg/ml glycopyrronium bromide) oral solution (Proveca) last updated 4/2019 </w:t>
            </w:r>
            <w:hyperlink r:id="rId8" w:history="1">
              <w:r w:rsidRPr="0059443C">
                <w:rPr>
                  <w:rStyle w:val="Hyperlink"/>
                </w:rPr>
                <w:t>www.medicines.org.uk</w:t>
              </w:r>
            </w:hyperlink>
            <w:r w:rsidRPr="0059443C">
              <w:t xml:space="preserve"> date accessed 23 May 2019</w:t>
            </w:r>
          </w:p>
          <w:p w:rsidR="00FE7E55" w:rsidRPr="0059443C" w:rsidRDefault="00FE7E55" w:rsidP="00A74535">
            <w:pPr>
              <w:pStyle w:val="ListParagraph"/>
              <w:numPr>
                <w:ilvl w:val="0"/>
                <w:numId w:val="6"/>
              </w:numPr>
              <w:ind w:left="313" w:hanging="284"/>
            </w:pPr>
            <w:r w:rsidRPr="0059443C">
              <w:t xml:space="preserve">Summary of Product Characteristics Glycopyrronium 1mg/5ml </w:t>
            </w:r>
            <w:r w:rsidR="00D82A51" w:rsidRPr="0059443C">
              <w:t>oral solution (Colonis Pharma) last updated 21/3/19</w:t>
            </w:r>
            <w:r w:rsidRPr="0059443C">
              <w:t xml:space="preserve"> </w:t>
            </w:r>
            <w:hyperlink r:id="rId9" w:history="1">
              <w:r w:rsidRPr="0059443C">
                <w:rPr>
                  <w:rStyle w:val="Hyperlink"/>
                </w:rPr>
                <w:t>www.medicines.org.uk</w:t>
              </w:r>
            </w:hyperlink>
            <w:r w:rsidRPr="0059443C">
              <w:t xml:space="preserve"> date accessed 23 May 2019</w:t>
            </w:r>
          </w:p>
          <w:p w:rsidR="00794EBA" w:rsidRPr="0059443C" w:rsidRDefault="00794EBA" w:rsidP="00A74535">
            <w:pPr>
              <w:pStyle w:val="ListParagraph"/>
              <w:numPr>
                <w:ilvl w:val="0"/>
                <w:numId w:val="6"/>
              </w:numPr>
              <w:ind w:left="313" w:hanging="284"/>
            </w:pPr>
            <w:r w:rsidRPr="0059443C">
              <w:t xml:space="preserve">Drug Tariff May 2019 </w:t>
            </w:r>
            <w:hyperlink r:id="rId10" w:history="1">
              <w:r w:rsidRPr="0059443C">
                <w:rPr>
                  <w:rStyle w:val="Hyperlink"/>
                </w:rPr>
                <w:t>https://www.nhsbsa.nhs.uk/pharmacies-gp-practices-and-appliance-contractors/drug-tariff</w:t>
              </w:r>
            </w:hyperlink>
            <w:r w:rsidRPr="0059443C">
              <w:t xml:space="preserve"> </w:t>
            </w:r>
            <w:r w:rsidR="00A74535">
              <w:t>date accessed 23 May 2019</w:t>
            </w:r>
          </w:p>
        </w:tc>
      </w:tr>
      <w:tr w:rsidR="00794EBA" w:rsidRPr="0041272F" w:rsidTr="00FF43DF">
        <w:tc>
          <w:tcPr>
            <w:tcW w:w="9016" w:type="dxa"/>
            <w:gridSpan w:val="4"/>
          </w:tcPr>
          <w:p w:rsidR="00794EBA" w:rsidRPr="0059443C" w:rsidRDefault="00772B37" w:rsidP="00794EBA">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794EBA" w:rsidRPr="0041272F" w:rsidTr="00FF43DF">
        <w:trPr>
          <w:trHeight w:val="503"/>
        </w:trPr>
        <w:tc>
          <w:tcPr>
            <w:tcW w:w="9016" w:type="dxa"/>
            <w:gridSpan w:val="4"/>
          </w:tcPr>
          <w:p w:rsidR="00794EBA" w:rsidRPr="0059443C" w:rsidRDefault="00794EBA" w:rsidP="00794EBA">
            <w:r w:rsidRPr="0059443C">
              <w:t>Author: Vicki Kong, QIPP Programme Pharmacist, BHR CCGs</w:t>
            </w:r>
          </w:p>
          <w:p w:rsidR="00794EBA" w:rsidRPr="0059443C" w:rsidRDefault="00794EBA" w:rsidP="00794EBA">
            <w:r w:rsidRPr="0059443C">
              <w:t>Approved by BHR CCGs A</w:t>
            </w:r>
            <w:r w:rsidR="0059443C">
              <w:t>rea Prescribing sub-Committees:</w:t>
            </w:r>
            <w:r w:rsidR="00524D92">
              <w:t xml:space="preserve"> July 2019</w:t>
            </w:r>
          </w:p>
        </w:tc>
      </w:tr>
      <w:tr w:rsidR="0059443C" w:rsidRPr="0041272F" w:rsidTr="00FF43DF">
        <w:trPr>
          <w:trHeight w:val="149"/>
        </w:trPr>
        <w:tc>
          <w:tcPr>
            <w:tcW w:w="4508" w:type="dxa"/>
            <w:gridSpan w:val="2"/>
          </w:tcPr>
          <w:p w:rsidR="0059443C" w:rsidRPr="0059443C" w:rsidRDefault="0059443C" w:rsidP="0059443C">
            <w:r w:rsidRPr="0059443C">
              <w:t>Review date:</w:t>
            </w:r>
            <w:r w:rsidR="00524D92">
              <w:t xml:space="preserve"> July 2021</w:t>
            </w:r>
          </w:p>
        </w:tc>
        <w:tc>
          <w:tcPr>
            <w:tcW w:w="4508" w:type="dxa"/>
            <w:gridSpan w:val="2"/>
          </w:tcPr>
          <w:p w:rsidR="0059443C" w:rsidRPr="0059443C" w:rsidRDefault="0059443C" w:rsidP="0059443C">
            <w:r w:rsidRPr="0059443C">
              <w:t>Version: 1</w:t>
            </w:r>
          </w:p>
        </w:tc>
      </w:tr>
    </w:tbl>
    <w:p w:rsidR="00794EBA" w:rsidRDefault="00794EBA"/>
    <w:sectPr w:rsidR="00794EBA" w:rsidSect="00E3055A">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B4" w:rsidRDefault="003C68B4" w:rsidP="00F72AFB">
      <w:r>
        <w:separator/>
      </w:r>
    </w:p>
  </w:endnote>
  <w:endnote w:type="continuationSeparator" w:id="0">
    <w:p w:rsidR="003C68B4" w:rsidRDefault="003C68B4"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B4" w:rsidRDefault="003C68B4">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0C" w:rsidRDefault="00F4340C">
    <w:pPr>
      <w:pStyle w:val="Footer"/>
    </w:pPr>
    <w:r>
      <w:rPr>
        <w:noProof/>
        <w:lang w:eastAsia="en-GB"/>
      </w:rPr>
      <w:drawing>
        <wp:anchor distT="0" distB="0" distL="114300" distR="114300" simplePos="0" relativeHeight="251663360" behindDoc="1" locked="0" layoutInCell="1" allowOverlap="1" wp14:anchorId="61EBD67B" wp14:editId="2F901702">
          <wp:simplePos x="0" y="0"/>
          <wp:positionH relativeFrom="page">
            <wp:align>right</wp:align>
          </wp:positionH>
          <wp:positionV relativeFrom="bottomMargin">
            <wp:align>top</wp:align>
          </wp:positionV>
          <wp:extent cx="64770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B4" w:rsidRDefault="003C68B4" w:rsidP="00F72AFB">
      <w:r>
        <w:separator/>
      </w:r>
    </w:p>
  </w:footnote>
  <w:footnote w:type="continuationSeparator" w:id="0">
    <w:p w:rsidR="003C68B4" w:rsidRDefault="003C68B4"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B4" w:rsidRDefault="003C68B4">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B4" w:rsidRDefault="003C68B4" w:rsidP="00DE3FC9">
    <w:pPr>
      <w:pStyle w:val="Header"/>
      <w:tabs>
        <w:tab w:val="clear" w:pos="4513"/>
        <w:tab w:val="clear" w:pos="9026"/>
        <w:tab w:val="left" w:pos="7875"/>
      </w:tabs>
    </w:pPr>
    <w:r>
      <w:rPr>
        <w:noProof/>
        <w:lang w:eastAsia="en-GB"/>
      </w:rPr>
      <w:drawing>
        <wp:anchor distT="0" distB="0" distL="114300" distR="114300" simplePos="0" relativeHeight="251661312" behindDoc="0" locked="0" layoutInCell="1" allowOverlap="1" wp14:anchorId="580D1FBC" wp14:editId="0A8764A3">
          <wp:simplePos x="0" y="0"/>
          <wp:positionH relativeFrom="margin">
            <wp:align>right</wp:align>
          </wp:positionH>
          <wp:positionV relativeFrom="paragraph">
            <wp:posOffset>-448310</wp:posOffset>
          </wp:positionV>
          <wp:extent cx="1943740" cy="914400"/>
          <wp:effectExtent l="0" t="0" r="0" b="0"/>
          <wp:wrapNone/>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13"/>
  </w:num>
  <w:num w:numId="6">
    <w:abstractNumId w:val="7"/>
  </w:num>
  <w:num w:numId="7">
    <w:abstractNumId w:val="3"/>
  </w:num>
  <w:num w:numId="8">
    <w:abstractNumId w:val="8"/>
  </w:num>
  <w:num w:numId="9">
    <w:abstractNumId w:val="9"/>
  </w:num>
  <w:num w:numId="10">
    <w:abstractNumId w:val="4"/>
  </w:num>
  <w:num w:numId="11">
    <w:abstractNumId w:val="11"/>
  </w:num>
  <w:num w:numId="12">
    <w:abstractNumId w:val="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lu3w7iib85mvsiFkQoO9ZlXB7yKiuAwtkjgPlp3J8DBCjeW1KuQLHYVId29YWjFy53BWJr3PLrc/8R92Vh4ig==" w:salt="coHumI/tIGvx8UJUL7TyX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43617"/>
    <w:rsid w:val="000760DA"/>
    <w:rsid w:val="00077947"/>
    <w:rsid w:val="000917D0"/>
    <w:rsid w:val="000B0333"/>
    <w:rsid w:val="000C7A55"/>
    <w:rsid w:val="000F6901"/>
    <w:rsid w:val="000F781D"/>
    <w:rsid w:val="00104B1F"/>
    <w:rsid w:val="00122DD3"/>
    <w:rsid w:val="00126DF3"/>
    <w:rsid w:val="00134D3A"/>
    <w:rsid w:val="001577C9"/>
    <w:rsid w:val="0016036D"/>
    <w:rsid w:val="00160CDD"/>
    <w:rsid w:val="0016214E"/>
    <w:rsid w:val="001865BA"/>
    <w:rsid w:val="00197836"/>
    <w:rsid w:val="001A1B36"/>
    <w:rsid w:val="001C7AFE"/>
    <w:rsid w:val="001D098E"/>
    <w:rsid w:val="001E07CC"/>
    <w:rsid w:val="001E1CC3"/>
    <w:rsid w:val="001F1CC6"/>
    <w:rsid w:val="0020558B"/>
    <w:rsid w:val="00214CBB"/>
    <w:rsid w:val="00222183"/>
    <w:rsid w:val="00234045"/>
    <w:rsid w:val="002342EC"/>
    <w:rsid w:val="002364C6"/>
    <w:rsid w:val="00241478"/>
    <w:rsid w:val="00241ECE"/>
    <w:rsid w:val="0024265C"/>
    <w:rsid w:val="0024651A"/>
    <w:rsid w:val="00252095"/>
    <w:rsid w:val="002671D5"/>
    <w:rsid w:val="002704A2"/>
    <w:rsid w:val="002709CC"/>
    <w:rsid w:val="00270B08"/>
    <w:rsid w:val="00272A84"/>
    <w:rsid w:val="00277FFA"/>
    <w:rsid w:val="002809E0"/>
    <w:rsid w:val="00285D6E"/>
    <w:rsid w:val="002B6CCF"/>
    <w:rsid w:val="002C1C09"/>
    <w:rsid w:val="002D01AD"/>
    <w:rsid w:val="002E0D4E"/>
    <w:rsid w:val="002E1B4E"/>
    <w:rsid w:val="002E5A1D"/>
    <w:rsid w:val="002E6888"/>
    <w:rsid w:val="00300289"/>
    <w:rsid w:val="00320699"/>
    <w:rsid w:val="003413AC"/>
    <w:rsid w:val="00354724"/>
    <w:rsid w:val="00357A02"/>
    <w:rsid w:val="00374E37"/>
    <w:rsid w:val="00376A86"/>
    <w:rsid w:val="00384499"/>
    <w:rsid w:val="0039078E"/>
    <w:rsid w:val="003944A6"/>
    <w:rsid w:val="003B31C2"/>
    <w:rsid w:val="003C1217"/>
    <w:rsid w:val="003C68B4"/>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296"/>
    <w:rsid w:val="004E4206"/>
    <w:rsid w:val="004F37B6"/>
    <w:rsid w:val="004F7CC4"/>
    <w:rsid w:val="005004A6"/>
    <w:rsid w:val="00506B6B"/>
    <w:rsid w:val="00522505"/>
    <w:rsid w:val="00524D92"/>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C3FC2"/>
    <w:rsid w:val="006D77BC"/>
    <w:rsid w:val="006F39B0"/>
    <w:rsid w:val="006F5F76"/>
    <w:rsid w:val="006F6618"/>
    <w:rsid w:val="0070746C"/>
    <w:rsid w:val="007179B9"/>
    <w:rsid w:val="00730141"/>
    <w:rsid w:val="0073460E"/>
    <w:rsid w:val="007531AC"/>
    <w:rsid w:val="00755BB0"/>
    <w:rsid w:val="00766C97"/>
    <w:rsid w:val="007704BA"/>
    <w:rsid w:val="00772B37"/>
    <w:rsid w:val="00794EBA"/>
    <w:rsid w:val="007A30B7"/>
    <w:rsid w:val="007A4D1E"/>
    <w:rsid w:val="007C3222"/>
    <w:rsid w:val="007D6AB7"/>
    <w:rsid w:val="00802D12"/>
    <w:rsid w:val="00831035"/>
    <w:rsid w:val="0084332A"/>
    <w:rsid w:val="00855E1A"/>
    <w:rsid w:val="00861368"/>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65FAC"/>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37A2E"/>
    <w:rsid w:val="00C43EB0"/>
    <w:rsid w:val="00C519C8"/>
    <w:rsid w:val="00C61A2C"/>
    <w:rsid w:val="00C712BA"/>
    <w:rsid w:val="00C76204"/>
    <w:rsid w:val="00C874C2"/>
    <w:rsid w:val="00C944BE"/>
    <w:rsid w:val="00CA5D27"/>
    <w:rsid w:val="00CB03FC"/>
    <w:rsid w:val="00CB5BEE"/>
    <w:rsid w:val="00CC378A"/>
    <w:rsid w:val="00CC4E07"/>
    <w:rsid w:val="00D01CFF"/>
    <w:rsid w:val="00D143A7"/>
    <w:rsid w:val="00D31A43"/>
    <w:rsid w:val="00D34211"/>
    <w:rsid w:val="00D40C13"/>
    <w:rsid w:val="00D44582"/>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3FC9"/>
    <w:rsid w:val="00DE4A25"/>
    <w:rsid w:val="00DF7D00"/>
    <w:rsid w:val="00E14E49"/>
    <w:rsid w:val="00E159AF"/>
    <w:rsid w:val="00E22943"/>
    <w:rsid w:val="00E3055A"/>
    <w:rsid w:val="00E31C78"/>
    <w:rsid w:val="00E51F8F"/>
    <w:rsid w:val="00E52E30"/>
    <w:rsid w:val="00E6760B"/>
    <w:rsid w:val="00E73F03"/>
    <w:rsid w:val="00E805CD"/>
    <w:rsid w:val="00E8609B"/>
    <w:rsid w:val="00EB08B7"/>
    <w:rsid w:val="00ED329C"/>
    <w:rsid w:val="00EE1154"/>
    <w:rsid w:val="00F14909"/>
    <w:rsid w:val="00F4340C"/>
    <w:rsid w:val="00F52982"/>
    <w:rsid w:val="00F66B94"/>
    <w:rsid w:val="00F72AFB"/>
    <w:rsid w:val="00FA2BAA"/>
    <w:rsid w:val="00FA61A4"/>
    <w:rsid w:val="00FC55DB"/>
    <w:rsid w:val="00FC5786"/>
    <w:rsid w:val="00FD55F6"/>
    <w:rsid w:val="00FD5A11"/>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bsa.nhs.uk/pharmacies-gp-practices-and-appliance-contractors/drug-tariff"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BC8F-37DE-4143-A133-5EFC51EB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4</cp:revision>
  <dcterms:created xsi:type="dcterms:W3CDTF">2019-10-29T09:41:00Z</dcterms:created>
  <dcterms:modified xsi:type="dcterms:W3CDTF">2019-11-27T14:21:00Z</dcterms:modified>
</cp:coreProperties>
</file>