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6"/>
        <w:gridCol w:w="2387"/>
        <w:gridCol w:w="2830"/>
        <w:gridCol w:w="1843"/>
      </w:tblGrid>
      <w:tr w:rsidR="007217AD" w:rsidTr="000E02C3">
        <w:trPr>
          <w:trHeight w:val="274"/>
        </w:trPr>
        <w:tc>
          <w:tcPr>
            <w:tcW w:w="8926" w:type="dxa"/>
            <w:gridSpan w:val="4"/>
            <w:tcBorders>
              <w:top w:val="single" w:sz="4" w:space="0" w:color="auto"/>
              <w:left w:val="single" w:sz="4" w:space="0" w:color="auto"/>
              <w:bottom w:val="single" w:sz="4" w:space="0" w:color="auto"/>
              <w:right w:val="single" w:sz="4" w:space="0" w:color="auto"/>
            </w:tcBorders>
            <w:shd w:val="clear" w:color="auto" w:fill="92D050"/>
          </w:tcPr>
          <w:p w:rsidR="007217AD" w:rsidRDefault="007217AD" w:rsidP="000E02C3">
            <w:pPr>
              <w:pStyle w:val="Heading1"/>
            </w:pPr>
            <w:bookmarkStart w:id="0" w:name="_GoBack"/>
            <w:bookmarkEnd w:id="0"/>
            <w:r>
              <w:br w:type="page"/>
              <w:t>Captopril</w:t>
            </w:r>
          </w:p>
        </w:tc>
      </w:tr>
      <w:tr w:rsidR="007217AD" w:rsidRPr="00FF40C6" w:rsidTr="000E02C3">
        <w:trPr>
          <w:trHeight w:val="364"/>
        </w:trPr>
        <w:tc>
          <w:tcPr>
            <w:tcW w:w="1866" w:type="dxa"/>
            <w:vMerge w:val="restart"/>
            <w:tcBorders>
              <w:top w:val="single" w:sz="4" w:space="0" w:color="auto"/>
              <w:left w:val="single" w:sz="4" w:space="0" w:color="auto"/>
              <w:bottom w:val="single" w:sz="4" w:space="0" w:color="auto"/>
              <w:right w:val="single" w:sz="4" w:space="0" w:color="auto"/>
            </w:tcBorders>
            <w:shd w:val="clear" w:color="auto" w:fill="00B0F0"/>
            <w:hideMark/>
          </w:tcPr>
          <w:p w:rsidR="007217AD" w:rsidRDefault="007217AD" w:rsidP="000E02C3">
            <w:pPr>
              <w:rPr>
                <w:rFonts w:cs="Arial"/>
              </w:rPr>
            </w:pPr>
            <w:r w:rsidRPr="00F7375C">
              <w:rPr>
                <w:rFonts w:cs="Arial"/>
              </w:rPr>
              <w:t xml:space="preserve">Preparations listed in </w:t>
            </w:r>
            <w:r>
              <w:rPr>
                <w:rFonts w:cs="Arial"/>
              </w:rPr>
              <w:t xml:space="preserve">the </w:t>
            </w:r>
            <w:r w:rsidRPr="00F7375C">
              <w:rPr>
                <w:rFonts w:cs="Arial"/>
              </w:rPr>
              <w:t>Drug tariff</w:t>
            </w:r>
          </w:p>
          <w:p w:rsidR="007217AD" w:rsidRPr="00FF40C6" w:rsidRDefault="007217AD" w:rsidP="000E02C3">
            <w:pPr>
              <w:rPr>
                <w:rFonts w:cs="Arial"/>
              </w:rPr>
            </w:pPr>
            <w:r w:rsidRPr="00FF40C6">
              <w:rPr>
                <w:rFonts w:cs="Arial"/>
                <w:b/>
              </w:rPr>
              <w:t>Hover the mouse over the £ sign for DT prices</w:t>
            </w: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7217AD" w:rsidRPr="00F7375C" w:rsidRDefault="00032632" w:rsidP="000E02C3">
            <w:pPr>
              <w:rPr>
                <w:rFonts w:cs="Arial"/>
                <w:b/>
              </w:rPr>
            </w:pPr>
            <w:hyperlink w:anchor="PartVIIIa" w:tooltip="Drugs listed in Part VIIIA of the Drug Tariff are NOT SPECIALS. These state the price to be charged if the prescription is dispensed that month (prices reviewed monthly.) This means that these drugs are charged at a fixed price." w:history="1">
              <w:r w:rsidR="007217AD" w:rsidRPr="00C50669">
                <w:rPr>
                  <w:rStyle w:val="Hyperlink"/>
                  <w:rFonts w:cs="Arial"/>
                  <w:b/>
                </w:rPr>
                <w:t>Part VIIIA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7AD" w:rsidRPr="00FF40C6" w:rsidRDefault="007217AD" w:rsidP="000E02C3">
            <w:pPr>
              <w:rPr>
                <w:rFonts w:cs="Arial"/>
              </w:rPr>
            </w:pPr>
            <w:r w:rsidRPr="00FF40C6">
              <w:rPr>
                <w:rFonts w:cs="Arial"/>
                <w:b/>
              </w:rPr>
              <w:t>DT price</w:t>
            </w:r>
          </w:p>
        </w:tc>
      </w:tr>
      <w:tr w:rsidR="007217AD" w:rsidRPr="002C4310"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7217AD" w:rsidRPr="00F7375C" w:rsidRDefault="007217A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7217AD" w:rsidRDefault="007217AD" w:rsidP="000E02C3">
            <w:r>
              <w:t>Captopril 12.5mg, 25mg, 50mg tablets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7AD" w:rsidRPr="002C4310" w:rsidRDefault="00032632" w:rsidP="000E02C3">
            <w:pPr>
              <w:jc w:val="center"/>
              <w:rPr>
                <w:rFonts w:cs="Arial"/>
                <w:b/>
              </w:rPr>
            </w:pPr>
            <w:hyperlink w:anchor="_Captopril" w:tooltip="Cost for 56 tablets: £1.15 (12.5mg), £1.26 (25mg), £1.51 (50mg)" w:history="1">
              <w:r w:rsidR="007217AD" w:rsidRPr="002C4310">
                <w:rPr>
                  <w:rStyle w:val="Hyperlink"/>
                  <w:rFonts w:cs="Arial"/>
                  <w:b/>
                </w:rPr>
                <w:t>£</w:t>
              </w:r>
            </w:hyperlink>
          </w:p>
        </w:tc>
      </w:tr>
      <w:tr w:rsidR="007217AD" w:rsidRPr="004A4E12" w:rsidTr="000E02C3">
        <w:trPr>
          <w:trHeight w:val="284"/>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7217AD" w:rsidRPr="00F7375C" w:rsidRDefault="007217A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7217AD" w:rsidRDefault="007217AD" w:rsidP="000E02C3">
            <w:r>
              <w:t>Captopril 5mg/5ml oral solution S/F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7AD" w:rsidRPr="004A4E12" w:rsidRDefault="007217AD" w:rsidP="000E02C3">
            <w:pPr>
              <w:rPr>
                <w:rFonts w:cs="Arial"/>
                <w:sz w:val="20"/>
                <w:szCs w:val="20"/>
              </w:rPr>
            </w:pPr>
            <w:r w:rsidRPr="004A4E12">
              <w:rPr>
                <w:rFonts w:cs="Arial"/>
                <w:sz w:val="20"/>
                <w:szCs w:val="20"/>
              </w:rPr>
              <w:t>£95.51 for 100ml</w:t>
            </w:r>
          </w:p>
        </w:tc>
      </w:tr>
      <w:tr w:rsidR="007217AD" w:rsidRPr="004A4E12" w:rsidTr="000E02C3">
        <w:trPr>
          <w:trHeight w:val="129"/>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7217AD" w:rsidRPr="00F7375C" w:rsidRDefault="007217A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7217AD" w:rsidRDefault="007217AD" w:rsidP="000E02C3">
            <w:pPr>
              <w:rPr>
                <w:rFonts w:cs="Arial"/>
                <w:b/>
              </w:rPr>
            </w:pPr>
            <w:r>
              <w:t>Captopril 25mg/5ml oral solution S/F</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7AD" w:rsidRPr="004A4E12" w:rsidRDefault="007217AD" w:rsidP="000E02C3">
            <w:pPr>
              <w:rPr>
                <w:rFonts w:cs="Arial"/>
                <w:sz w:val="20"/>
                <w:szCs w:val="20"/>
              </w:rPr>
            </w:pPr>
            <w:r w:rsidRPr="004A4E12">
              <w:rPr>
                <w:rFonts w:cs="Arial"/>
                <w:sz w:val="20"/>
                <w:szCs w:val="20"/>
              </w:rPr>
              <w:t>£105.96 for 100ml</w:t>
            </w:r>
          </w:p>
        </w:tc>
      </w:tr>
      <w:tr w:rsidR="007217AD" w:rsidRPr="00FF40C6" w:rsidTr="000E02C3">
        <w:trPr>
          <w:trHeight w:val="303"/>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7217AD" w:rsidRPr="00F7375C" w:rsidRDefault="007217A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7217AD" w:rsidRPr="00F7375C" w:rsidRDefault="00032632" w:rsidP="000E02C3">
            <w:pPr>
              <w:rPr>
                <w:rFonts w:cs="Arial"/>
                <w:b/>
              </w:rPr>
            </w:pPr>
            <w:hyperlink w:anchor="PartVIIIb" w:tooltip="Specials drugs listed in Part VIIIB of the Drug Tariff state the price to be charged if the prescription is dispensed that month (prices reviewed monthly.) Specials not listed in this part are NOT charged at a fixed price and can be very expensive." w:history="1">
              <w:r w:rsidR="007217AD" w:rsidRPr="00C50669">
                <w:rPr>
                  <w:rStyle w:val="Hyperlink"/>
                  <w:rFonts w:cs="Arial"/>
                  <w:b/>
                </w:rPr>
                <w:t>Part VIIIB (hover the mouse here for more info):</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7AD" w:rsidRPr="00FF40C6" w:rsidRDefault="007217AD" w:rsidP="000E02C3">
            <w:pPr>
              <w:rPr>
                <w:rFonts w:cs="Arial"/>
              </w:rPr>
            </w:pPr>
            <w:r w:rsidRPr="00FF40C6">
              <w:rPr>
                <w:rFonts w:cs="Arial"/>
                <w:b/>
              </w:rPr>
              <w:t>DT price</w:t>
            </w:r>
          </w:p>
        </w:tc>
      </w:tr>
      <w:tr w:rsidR="007217AD" w:rsidRPr="00FF40C6" w:rsidTr="000E02C3">
        <w:trPr>
          <w:trHeight w:val="125"/>
        </w:trPr>
        <w:tc>
          <w:tcPr>
            <w:tcW w:w="1866" w:type="dxa"/>
            <w:vMerge/>
            <w:tcBorders>
              <w:top w:val="single" w:sz="4" w:space="0" w:color="auto"/>
              <w:left w:val="single" w:sz="4" w:space="0" w:color="auto"/>
              <w:bottom w:val="single" w:sz="4" w:space="0" w:color="auto"/>
              <w:right w:val="single" w:sz="4" w:space="0" w:color="auto"/>
            </w:tcBorders>
            <w:shd w:val="clear" w:color="auto" w:fill="00B0F0"/>
          </w:tcPr>
          <w:p w:rsidR="007217AD" w:rsidRPr="00F7375C" w:rsidRDefault="007217AD" w:rsidP="000E02C3">
            <w:pPr>
              <w:rPr>
                <w:rFonts w:cs="Arial"/>
              </w:rPr>
            </w:pPr>
          </w:p>
        </w:tc>
        <w:tc>
          <w:tcPr>
            <w:tcW w:w="5217" w:type="dxa"/>
            <w:gridSpan w:val="2"/>
            <w:tcBorders>
              <w:top w:val="single" w:sz="4" w:space="0" w:color="auto"/>
              <w:left w:val="single" w:sz="4" w:space="0" w:color="auto"/>
              <w:bottom w:val="single" w:sz="4" w:space="0" w:color="auto"/>
              <w:right w:val="single" w:sz="4" w:space="0" w:color="auto"/>
            </w:tcBorders>
            <w:shd w:val="clear" w:color="auto" w:fill="auto"/>
          </w:tcPr>
          <w:p w:rsidR="007217AD" w:rsidRDefault="007217AD" w:rsidP="000E02C3">
            <w:r>
              <w:t>None</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217AD" w:rsidRPr="00FF40C6" w:rsidRDefault="007217AD" w:rsidP="000E02C3">
            <w:pPr>
              <w:rPr>
                <w:rFonts w:cs="Arial"/>
                <w:b/>
              </w:rPr>
            </w:pPr>
          </w:p>
        </w:tc>
      </w:tr>
      <w:tr w:rsidR="007217AD" w:rsidRPr="00F7375C" w:rsidTr="000E02C3">
        <w:trPr>
          <w:trHeight w:val="231"/>
        </w:trPr>
        <w:tc>
          <w:tcPr>
            <w:tcW w:w="8926" w:type="dxa"/>
            <w:gridSpan w:val="4"/>
            <w:tcBorders>
              <w:top w:val="single" w:sz="4" w:space="0" w:color="auto"/>
              <w:left w:val="single" w:sz="4" w:space="0" w:color="auto"/>
              <w:bottom w:val="single" w:sz="4" w:space="0" w:color="auto"/>
              <w:right w:val="single" w:sz="4" w:space="0" w:color="auto"/>
            </w:tcBorders>
            <w:shd w:val="clear" w:color="auto" w:fill="FFFF00"/>
            <w:hideMark/>
          </w:tcPr>
          <w:p w:rsidR="007217AD" w:rsidRPr="00F7375C" w:rsidRDefault="007217AD" w:rsidP="000E02C3">
            <w:pPr>
              <w:rPr>
                <w:rFonts w:cs="Arial"/>
              </w:rPr>
            </w:pPr>
            <w:r w:rsidRPr="00F7375C">
              <w:rPr>
                <w:rFonts w:cs="Arial"/>
              </w:rPr>
              <w:t>Administration in swallowing difficulties</w:t>
            </w:r>
          </w:p>
        </w:tc>
      </w:tr>
      <w:tr w:rsidR="007217AD" w:rsidRPr="00F7375C" w:rsidTr="000E02C3">
        <w:trPr>
          <w:trHeight w:val="1567"/>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7217AD" w:rsidRDefault="007217AD" w:rsidP="000E02C3">
            <w:pPr>
              <w:rPr>
                <w:rFonts w:cs="Arial"/>
              </w:rPr>
            </w:pPr>
            <w:r>
              <w:rPr>
                <w:rFonts w:cs="Arial"/>
              </w:rPr>
              <w:t>Captopril oral solution can be administered using the oral dosing syringe provided.</w:t>
            </w:r>
          </w:p>
          <w:p w:rsidR="007217AD" w:rsidRDefault="007217AD" w:rsidP="000E02C3">
            <w:pPr>
              <w:rPr>
                <w:rFonts w:cs="Arial"/>
              </w:rPr>
            </w:pPr>
          </w:p>
          <w:p w:rsidR="007217AD" w:rsidRPr="00F7375C" w:rsidRDefault="007217AD" w:rsidP="000E02C3">
            <w:pPr>
              <w:rPr>
                <w:rFonts w:cs="Arial"/>
              </w:rPr>
            </w:pPr>
            <w:r>
              <w:rPr>
                <w:rFonts w:cs="Arial"/>
              </w:rPr>
              <w:t>Captopril tablets can be dispersed in water (unlicensed use) before administration</w:t>
            </w:r>
            <w:r>
              <w:rPr>
                <w:rFonts w:cs="Arial"/>
                <w:vertAlign w:val="superscript"/>
              </w:rPr>
              <w:t>2</w:t>
            </w:r>
            <w:r>
              <w:rPr>
                <w:rFonts w:cs="Arial"/>
              </w:rPr>
              <w:t>, or crushed and mixed with a small amount of soft food such as yoghurt, honey or jam before swallowing, without chewing</w:t>
            </w:r>
            <w:r>
              <w:rPr>
                <w:rFonts w:cs="Arial"/>
                <w:vertAlign w:val="superscript"/>
              </w:rPr>
              <w:t>3</w:t>
            </w:r>
            <w:r>
              <w:rPr>
                <w:rFonts w:cs="Arial"/>
              </w:rPr>
              <w:t xml:space="preserve"> (unlicensed use).</w:t>
            </w:r>
          </w:p>
        </w:tc>
      </w:tr>
      <w:tr w:rsidR="007217AD" w:rsidRPr="00F7375C" w:rsidTr="000E02C3">
        <w:trPr>
          <w:trHeight w:val="203"/>
        </w:trPr>
        <w:tc>
          <w:tcPr>
            <w:tcW w:w="8926" w:type="dxa"/>
            <w:gridSpan w:val="4"/>
            <w:tcBorders>
              <w:top w:val="single" w:sz="4" w:space="0" w:color="auto"/>
              <w:left w:val="single" w:sz="4" w:space="0" w:color="auto"/>
              <w:bottom w:val="single" w:sz="4" w:space="0" w:color="auto"/>
              <w:right w:val="single" w:sz="4" w:space="0" w:color="auto"/>
            </w:tcBorders>
            <w:shd w:val="clear" w:color="auto" w:fill="FFC000"/>
            <w:hideMark/>
          </w:tcPr>
          <w:p w:rsidR="007217AD" w:rsidRPr="00F7375C" w:rsidRDefault="007217AD" w:rsidP="000E02C3">
            <w:pPr>
              <w:rPr>
                <w:rFonts w:cs="Arial"/>
              </w:rPr>
            </w:pPr>
            <w:r w:rsidRPr="00F7375C">
              <w:rPr>
                <w:rFonts w:cs="Arial"/>
              </w:rPr>
              <w:t>Administration in enteral feeding tube</w:t>
            </w:r>
          </w:p>
        </w:tc>
      </w:tr>
      <w:tr w:rsidR="007217AD" w:rsidRPr="00F7375C" w:rsidTr="000E02C3">
        <w:trPr>
          <w:trHeight w:val="2123"/>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7217AD" w:rsidRDefault="007217AD" w:rsidP="000E02C3">
            <w:pPr>
              <w:rPr>
                <w:rFonts w:cs="Arial"/>
              </w:rPr>
            </w:pPr>
            <w:r>
              <w:rPr>
                <w:rFonts w:cs="Arial"/>
              </w:rPr>
              <w:t>Consider switching to another ACE inhibitor which requires only once daily administration and is licensed to be administered via a feeding tube e.g. Ramipril liquid</w:t>
            </w:r>
          </w:p>
          <w:p w:rsidR="007217AD" w:rsidRDefault="007217AD" w:rsidP="000E02C3">
            <w:pPr>
              <w:rPr>
                <w:rFonts w:cs="Arial"/>
              </w:rPr>
            </w:pPr>
          </w:p>
          <w:p w:rsidR="007217AD" w:rsidRDefault="007217AD" w:rsidP="000E02C3">
            <w:pPr>
              <w:rPr>
                <w:rFonts w:cs="Arial"/>
              </w:rPr>
            </w:pPr>
            <w:r>
              <w:rPr>
                <w:rFonts w:cs="Arial"/>
              </w:rPr>
              <w:t>Captopril oral solution (Thame Laboratories):</w:t>
            </w:r>
          </w:p>
          <w:p w:rsidR="007217AD" w:rsidRDefault="007217AD" w:rsidP="000E02C3">
            <w:pPr>
              <w:rPr>
                <w:rFonts w:cs="Arial"/>
              </w:rPr>
            </w:pPr>
            <w:r>
              <w:rPr>
                <w:rFonts w:cs="Arial"/>
              </w:rPr>
              <w:t>Stop the feed and flush with a minimum of 5ml water. Administer the required dose of Captopril oral solution. Flush with a minimum of 10ml of water. This formulation has been shown to be suitable for use with polyurethane, latex free enteral feeding tube (8Fr, 1.7mm internal diameter, 92cm length)</w:t>
            </w:r>
            <w:r>
              <w:rPr>
                <w:rFonts w:cs="Arial"/>
                <w:vertAlign w:val="superscript"/>
              </w:rPr>
              <w:t>1</w:t>
            </w:r>
            <w:r>
              <w:rPr>
                <w:rFonts w:cs="Arial"/>
              </w:rPr>
              <w:t>.</w:t>
            </w:r>
          </w:p>
          <w:p w:rsidR="007217AD" w:rsidRDefault="007217AD" w:rsidP="000E02C3">
            <w:pPr>
              <w:rPr>
                <w:rFonts w:cs="Arial"/>
              </w:rPr>
            </w:pPr>
          </w:p>
          <w:p w:rsidR="007217AD" w:rsidRDefault="007217AD" w:rsidP="000E02C3">
            <w:pPr>
              <w:rPr>
                <w:rFonts w:cs="Arial"/>
              </w:rPr>
            </w:pPr>
            <w:r>
              <w:rPr>
                <w:rFonts w:cs="Arial"/>
              </w:rPr>
              <w:t xml:space="preserve">Martindale </w:t>
            </w:r>
            <w:proofErr w:type="spellStart"/>
            <w:r>
              <w:rPr>
                <w:rFonts w:cs="Arial"/>
              </w:rPr>
              <w:t>Pharma</w:t>
            </w:r>
            <w:proofErr w:type="spellEnd"/>
            <w:r>
              <w:rPr>
                <w:rFonts w:cs="Arial"/>
              </w:rPr>
              <w:t xml:space="preserve"> have no information on giving their oral solution, </w:t>
            </w:r>
            <w:proofErr w:type="spellStart"/>
            <w:r>
              <w:rPr>
                <w:rFonts w:cs="Arial"/>
              </w:rPr>
              <w:t>Noyada</w:t>
            </w:r>
            <w:proofErr w:type="spellEnd"/>
            <w:r>
              <w:rPr>
                <w:rFonts w:cs="Arial"/>
              </w:rPr>
              <w:t xml:space="preserve"> via a feeding tube</w:t>
            </w:r>
            <w:r>
              <w:rPr>
                <w:rFonts w:cs="Arial"/>
                <w:vertAlign w:val="superscript"/>
              </w:rPr>
              <w:t>4</w:t>
            </w:r>
            <w:r>
              <w:rPr>
                <w:rFonts w:cs="Arial"/>
              </w:rPr>
              <w:t xml:space="preserve">. </w:t>
            </w:r>
          </w:p>
          <w:p w:rsidR="007217AD" w:rsidRDefault="007217AD" w:rsidP="000E02C3">
            <w:pPr>
              <w:rPr>
                <w:rFonts w:cs="Arial"/>
              </w:rPr>
            </w:pPr>
            <w:r>
              <w:rPr>
                <w:rFonts w:cs="Arial"/>
              </w:rPr>
              <w:t xml:space="preserve"> </w:t>
            </w:r>
          </w:p>
          <w:p w:rsidR="007217AD" w:rsidRDefault="007217AD" w:rsidP="000E02C3">
            <w:pPr>
              <w:rPr>
                <w:rFonts w:cs="Arial"/>
              </w:rPr>
            </w:pPr>
            <w:r>
              <w:rPr>
                <w:rFonts w:cs="Arial"/>
              </w:rPr>
              <w:t>Captopril tablets (unlicensed use)</w:t>
            </w:r>
            <w:r>
              <w:rPr>
                <w:rFonts w:cs="Arial"/>
                <w:vertAlign w:val="superscript"/>
              </w:rPr>
              <w:t>2</w:t>
            </w:r>
            <w:r>
              <w:rPr>
                <w:rFonts w:cs="Arial"/>
              </w:rPr>
              <w:t>:</w:t>
            </w:r>
          </w:p>
          <w:p w:rsidR="007217AD" w:rsidRDefault="007217AD" w:rsidP="000E02C3">
            <w:pPr>
              <w:rPr>
                <w:rFonts w:cs="Arial"/>
              </w:rPr>
            </w:pPr>
            <w:r>
              <w:rPr>
                <w:rFonts w:cs="Arial"/>
              </w:rPr>
              <w:t>Stop the feed and flush. Place tablet in barrel of syringe and disperse with 10ml of water, shaking if necessary. Flush the medicine down the tube. Draw another 10ml of water and flush the rinsing (any remaining medicine) down the tube. Flush with 10ml of water.</w:t>
            </w:r>
          </w:p>
          <w:p w:rsidR="007217AD" w:rsidRPr="00F7375C" w:rsidRDefault="007217AD" w:rsidP="000E02C3">
            <w:pPr>
              <w:rPr>
                <w:rFonts w:cs="Arial"/>
              </w:rPr>
            </w:pPr>
          </w:p>
        </w:tc>
      </w:tr>
      <w:tr w:rsidR="007217AD" w:rsidRPr="00F7375C" w:rsidTr="000E02C3">
        <w:trPr>
          <w:trHeight w:val="303"/>
        </w:trPr>
        <w:tc>
          <w:tcPr>
            <w:tcW w:w="8926" w:type="dxa"/>
            <w:gridSpan w:val="4"/>
            <w:tcBorders>
              <w:top w:val="single" w:sz="4" w:space="0" w:color="auto"/>
              <w:left w:val="single" w:sz="4" w:space="0" w:color="auto"/>
              <w:bottom w:val="single" w:sz="4" w:space="0" w:color="auto"/>
              <w:right w:val="single" w:sz="4" w:space="0" w:color="auto"/>
            </w:tcBorders>
            <w:shd w:val="clear" w:color="auto" w:fill="FF0000"/>
            <w:hideMark/>
          </w:tcPr>
          <w:p w:rsidR="007217AD" w:rsidRPr="00F7375C" w:rsidRDefault="007217AD" w:rsidP="000E02C3">
            <w:pPr>
              <w:rPr>
                <w:rFonts w:cs="Arial"/>
              </w:rPr>
            </w:pPr>
            <w:r w:rsidRPr="00F7375C">
              <w:rPr>
                <w:rFonts w:cs="Arial"/>
              </w:rPr>
              <w:t>Comments</w:t>
            </w:r>
          </w:p>
        </w:tc>
      </w:tr>
      <w:tr w:rsidR="007217AD" w:rsidTr="000E02C3">
        <w:trPr>
          <w:trHeight w:val="247"/>
        </w:trPr>
        <w:tc>
          <w:tcPr>
            <w:tcW w:w="8926" w:type="dxa"/>
            <w:gridSpan w:val="4"/>
            <w:tcBorders>
              <w:top w:val="single" w:sz="4" w:space="0" w:color="auto"/>
              <w:left w:val="single" w:sz="4" w:space="0" w:color="auto"/>
              <w:bottom w:val="single" w:sz="4" w:space="0" w:color="auto"/>
              <w:right w:val="single" w:sz="4" w:space="0" w:color="auto"/>
            </w:tcBorders>
            <w:shd w:val="clear" w:color="auto" w:fill="auto"/>
          </w:tcPr>
          <w:p w:rsidR="007217AD" w:rsidRDefault="007217AD" w:rsidP="000E02C3">
            <w:r>
              <w:t>None</w:t>
            </w:r>
          </w:p>
        </w:tc>
      </w:tr>
      <w:tr w:rsidR="007217AD" w:rsidRPr="003C16B9" w:rsidTr="000E02C3">
        <w:trPr>
          <w:trHeight w:val="89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217AD" w:rsidRPr="00F7375C" w:rsidRDefault="007217AD" w:rsidP="000E02C3">
            <w:pPr>
              <w:rPr>
                <w:rFonts w:cs="Arial"/>
              </w:rPr>
            </w:pPr>
            <w:r w:rsidRPr="00F7375C">
              <w:rPr>
                <w:rFonts w:cs="Arial"/>
              </w:rPr>
              <w:t>References</w:t>
            </w:r>
          </w:p>
          <w:p w:rsidR="007217AD" w:rsidRPr="00341C1B" w:rsidRDefault="007217AD" w:rsidP="000E02C3">
            <w:pPr>
              <w:pStyle w:val="ListParagraph"/>
              <w:numPr>
                <w:ilvl w:val="0"/>
                <w:numId w:val="27"/>
              </w:numPr>
              <w:ind w:left="313" w:hanging="284"/>
              <w:rPr>
                <w:rFonts w:cs="Arial"/>
              </w:rPr>
            </w:pPr>
            <w:r w:rsidRPr="006E17EC">
              <w:t>Summary</w:t>
            </w:r>
            <w:r>
              <w:t xml:space="preserve"> of Product Characteristics (SPC) Captopril 5mg/5ml and 25mg/5ml oral solution</w:t>
            </w:r>
            <w:r w:rsidRPr="006E17EC">
              <w:t xml:space="preserve"> (</w:t>
            </w:r>
            <w:r>
              <w:t>Thame Laboratories</w:t>
            </w:r>
            <w:r w:rsidRPr="006E17EC">
              <w:t xml:space="preserve">) </w:t>
            </w:r>
            <w:r>
              <w:t xml:space="preserve">both </w:t>
            </w:r>
            <w:r w:rsidRPr="006E17EC">
              <w:t xml:space="preserve">last updated </w:t>
            </w:r>
            <w:r>
              <w:t xml:space="preserve">8/11/17 </w:t>
            </w:r>
            <w:hyperlink r:id="rId8" w:history="1">
              <w:r w:rsidRPr="006E17EC">
                <w:rPr>
                  <w:rStyle w:val="Hyperlink"/>
                </w:rPr>
                <w:t>www.medicines.org.uk</w:t>
              </w:r>
            </w:hyperlink>
            <w:r w:rsidRPr="006E17EC">
              <w:t xml:space="preserve"> date accessed </w:t>
            </w:r>
            <w:r>
              <w:t>9 September 2019</w:t>
            </w:r>
          </w:p>
          <w:p w:rsidR="007217AD" w:rsidRDefault="007217AD" w:rsidP="000E02C3">
            <w:pPr>
              <w:pStyle w:val="ListParagraph"/>
              <w:numPr>
                <w:ilvl w:val="0"/>
                <w:numId w:val="27"/>
              </w:numPr>
              <w:ind w:left="313" w:hanging="284"/>
            </w:pPr>
            <w:r w:rsidRPr="006E17EC">
              <w:t xml:space="preserve">White R and </w:t>
            </w:r>
            <w:proofErr w:type="spellStart"/>
            <w:r w:rsidRPr="006E17EC">
              <w:t>Bradnam</w:t>
            </w:r>
            <w:proofErr w:type="spellEnd"/>
            <w:r w:rsidRPr="006E17EC">
              <w:t xml:space="preserve"> V. Handbook of Drug Administration via enteral feeding tubes. 3</w:t>
            </w:r>
            <w:r w:rsidRPr="006E17EC">
              <w:rPr>
                <w:vertAlign w:val="superscript"/>
              </w:rPr>
              <w:t>rd</w:t>
            </w:r>
            <w:r w:rsidRPr="006E17EC">
              <w:t xml:space="preserve"> edition, 2015. Pharmaceutical Press</w:t>
            </w:r>
          </w:p>
          <w:p w:rsidR="007217AD" w:rsidRDefault="007217AD" w:rsidP="000E02C3">
            <w:pPr>
              <w:pStyle w:val="ListParagraph"/>
              <w:numPr>
                <w:ilvl w:val="0"/>
                <w:numId w:val="27"/>
              </w:numPr>
              <w:ind w:left="313" w:hanging="284"/>
            </w:pPr>
            <w:r>
              <w:t xml:space="preserve">Captopril for heart failure. Medicines for Children. Published 17/11/2011. </w:t>
            </w:r>
            <w:hyperlink r:id="rId9" w:history="1">
              <w:r w:rsidRPr="00C12C57">
                <w:rPr>
                  <w:rStyle w:val="Hyperlink"/>
                </w:rPr>
                <w:t>https://www.medicinesforchildren.org.uk/captopril-heart-failure-0</w:t>
              </w:r>
            </w:hyperlink>
            <w:r>
              <w:t xml:space="preserve"> </w:t>
            </w:r>
          </w:p>
          <w:p w:rsidR="007217AD" w:rsidRDefault="007217AD" w:rsidP="000E02C3">
            <w:pPr>
              <w:pStyle w:val="ListParagraph"/>
              <w:numPr>
                <w:ilvl w:val="0"/>
                <w:numId w:val="27"/>
              </w:numPr>
              <w:ind w:left="313" w:hanging="284"/>
            </w:pPr>
            <w:r>
              <w:t xml:space="preserve">Email on file: </w:t>
            </w:r>
            <w:proofErr w:type="spellStart"/>
            <w:r>
              <w:t>Noyada</w:t>
            </w:r>
            <w:proofErr w:type="spellEnd"/>
            <w:r>
              <w:t xml:space="preserve">. Martindale </w:t>
            </w:r>
            <w:proofErr w:type="spellStart"/>
            <w:r>
              <w:t>Pharma</w:t>
            </w:r>
            <w:proofErr w:type="spellEnd"/>
            <w:r>
              <w:t>, Medical Information. Received 20/11/2019</w:t>
            </w:r>
          </w:p>
          <w:p w:rsidR="007217AD" w:rsidRPr="003C16B9" w:rsidRDefault="007217AD" w:rsidP="000E02C3">
            <w:pPr>
              <w:pStyle w:val="ListParagraph"/>
              <w:numPr>
                <w:ilvl w:val="0"/>
                <w:numId w:val="27"/>
              </w:numPr>
              <w:ind w:left="313" w:hanging="284"/>
              <w:rPr>
                <w:rFonts w:cs="Arial"/>
              </w:rPr>
            </w:pPr>
            <w:r>
              <w:t xml:space="preserve">Drug Tariff September 2019 </w:t>
            </w:r>
            <w:hyperlink r:id="rId10" w:history="1">
              <w:r>
                <w:rPr>
                  <w:rStyle w:val="Hyperlink"/>
                </w:rPr>
                <w:t>https://www.nhsbsa.nhs.uk/pharmacies-gp-practices-and-appliance-contractors/drug-tariff</w:t>
              </w:r>
            </w:hyperlink>
          </w:p>
        </w:tc>
      </w:tr>
      <w:tr w:rsidR="007217AD" w:rsidRPr="00F7375C" w:rsidTr="000E02C3">
        <w:trPr>
          <w:trHeight w:val="499"/>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217AD" w:rsidRPr="00F7375C" w:rsidRDefault="007217AD" w:rsidP="000E02C3">
            <w:pPr>
              <w:rPr>
                <w:rFonts w:cs="Arial"/>
              </w:rPr>
            </w:pPr>
            <w:r w:rsidRPr="00F7375C">
              <w:rPr>
                <w:rFonts w:cs="Arial"/>
                <w:b/>
              </w:rPr>
              <w:t xml:space="preserve">Please note: </w:t>
            </w:r>
            <w:r>
              <w:rPr>
                <w:rFonts w:cs="Arial"/>
                <w:b/>
              </w:rPr>
              <w:t>full instructions should be provided to the person administering the medicine. This is guidance only and should not determine individualised care.</w:t>
            </w:r>
          </w:p>
        </w:tc>
      </w:tr>
      <w:tr w:rsidR="007217AD" w:rsidRPr="00F7375C" w:rsidTr="000E02C3">
        <w:trPr>
          <w:trHeight w:val="502"/>
        </w:trPr>
        <w:tc>
          <w:tcPr>
            <w:tcW w:w="8926" w:type="dxa"/>
            <w:gridSpan w:val="4"/>
            <w:tcBorders>
              <w:top w:val="single" w:sz="4" w:space="0" w:color="auto"/>
              <w:left w:val="single" w:sz="4" w:space="0" w:color="auto"/>
              <w:bottom w:val="single" w:sz="4" w:space="0" w:color="auto"/>
              <w:right w:val="single" w:sz="4" w:space="0" w:color="auto"/>
            </w:tcBorders>
            <w:shd w:val="clear" w:color="auto" w:fill="auto"/>
            <w:hideMark/>
          </w:tcPr>
          <w:p w:rsidR="007217AD" w:rsidRPr="00F7375C" w:rsidRDefault="007217AD" w:rsidP="000E02C3">
            <w:pPr>
              <w:rPr>
                <w:rFonts w:cs="Arial"/>
              </w:rPr>
            </w:pPr>
            <w:r w:rsidRPr="00F7375C">
              <w:rPr>
                <w:rFonts w:cs="Arial"/>
              </w:rPr>
              <w:t>Author: Vicki Kong, QIPP Programme Pharmacist, BHR CCGs</w:t>
            </w:r>
          </w:p>
          <w:p w:rsidR="007217AD" w:rsidRPr="00F7375C" w:rsidRDefault="007217AD" w:rsidP="000E02C3">
            <w:pPr>
              <w:rPr>
                <w:rFonts w:cs="Arial"/>
              </w:rPr>
            </w:pPr>
            <w:r w:rsidRPr="00F7375C">
              <w:rPr>
                <w:rFonts w:cs="Arial"/>
              </w:rPr>
              <w:t>Approved by BHR CCGs Area Prescribing sub-Committees:</w:t>
            </w:r>
            <w:r>
              <w:rPr>
                <w:rFonts w:cs="Arial"/>
              </w:rPr>
              <w:t xml:space="preserve"> January 2020</w:t>
            </w:r>
          </w:p>
        </w:tc>
      </w:tr>
      <w:tr w:rsidR="007217AD" w:rsidRPr="00F7375C" w:rsidTr="000E02C3">
        <w:trPr>
          <w:trHeight w:val="214"/>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7217AD" w:rsidRPr="00F7375C" w:rsidRDefault="007217AD" w:rsidP="000E02C3">
            <w:pPr>
              <w:rPr>
                <w:rFonts w:cs="Arial"/>
              </w:rPr>
            </w:pPr>
            <w:r w:rsidRPr="00F7375C">
              <w:rPr>
                <w:rFonts w:cs="Arial"/>
              </w:rPr>
              <w:t>Review date:</w:t>
            </w:r>
            <w:r>
              <w:rPr>
                <w:rFonts w:cs="Arial"/>
              </w:rPr>
              <w:t xml:space="preserve"> January 2022</w:t>
            </w:r>
          </w:p>
        </w:tc>
        <w:tc>
          <w:tcPr>
            <w:tcW w:w="4673" w:type="dxa"/>
            <w:gridSpan w:val="2"/>
            <w:tcBorders>
              <w:top w:val="single" w:sz="4" w:space="0" w:color="auto"/>
              <w:left w:val="single" w:sz="4" w:space="0" w:color="auto"/>
              <w:bottom w:val="single" w:sz="4" w:space="0" w:color="auto"/>
              <w:right w:val="single" w:sz="4" w:space="0" w:color="auto"/>
            </w:tcBorders>
            <w:shd w:val="clear" w:color="auto" w:fill="auto"/>
            <w:hideMark/>
          </w:tcPr>
          <w:p w:rsidR="007217AD" w:rsidRPr="00F7375C" w:rsidRDefault="007217AD" w:rsidP="000E02C3">
            <w:pPr>
              <w:rPr>
                <w:rFonts w:cs="Arial"/>
              </w:rPr>
            </w:pPr>
            <w:r>
              <w:rPr>
                <w:rFonts w:cs="Arial"/>
              </w:rPr>
              <w:t>Version: 1</w:t>
            </w:r>
          </w:p>
        </w:tc>
      </w:tr>
    </w:tbl>
    <w:p w:rsidR="00E4321D" w:rsidRDefault="00E4321D" w:rsidP="00186110">
      <w:pPr>
        <w:pStyle w:val="Header"/>
        <w:tabs>
          <w:tab w:val="clear" w:pos="4513"/>
          <w:tab w:val="clear" w:pos="9026"/>
        </w:tabs>
      </w:pPr>
    </w:p>
    <w:sectPr w:rsidR="00E4321D" w:rsidSect="00E3055A">
      <w:headerReference w:type="default"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110" w:rsidRDefault="00186110" w:rsidP="00F72AFB">
      <w:r>
        <w:separator/>
      </w:r>
    </w:p>
  </w:endnote>
  <w:endnote w:type="continuationSeparator" w:id="0">
    <w:p w:rsidR="00186110" w:rsidRDefault="00186110" w:rsidP="00F7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59264"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Footer"/>
    </w:pPr>
    <w:r>
      <w:rPr>
        <w:noProof/>
        <w:lang w:eastAsia="en-GB"/>
      </w:rPr>
      <w:drawing>
        <wp:anchor distT="0" distB="0" distL="114300" distR="114300" simplePos="0" relativeHeight="251663360" behindDoc="1" locked="0" layoutInCell="1" allowOverlap="1" wp14:anchorId="707571E5" wp14:editId="649F503B">
          <wp:simplePos x="0" y="0"/>
          <wp:positionH relativeFrom="page">
            <wp:align>right</wp:align>
          </wp:positionH>
          <wp:positionV relativeFrom="bottomMargin">
            <wp:align>top</wp:align>
          </wp:positionV>
          <wp:extent cx="6477000" cy="1076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110" w:rsidRDefault="00186110" w:rsidP="00F72AFB">
      <w:r>
        <w:separator/>
      </w:r>
    </w:p>
  </w:footnote>
  <w:footnote w:type="continuationSeparator" w:id="0">
    <w:p w:rsidR="00186110" w:rsidRDefault="00186110" w:rsidP="00F7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-448945</wp:posOffset>
          </wp:positionV>
          <wp:extent cx="1943740" cy="914400"/>
          <wp:effectExtent l="0" t="0" r="0" b="0"/>
          <wp:wrapNone/>
          <wp:docPr id="2" name="Picture 2"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110" w:rsidRDefault="00186110" w:rsidP="00E8472E">
    <w:pPr>
      <w:pStyle w:val="Header"/>
      <w:tabs>
        <w:tab w:val="clear" w:pos="9026"/>
        <w:tab w:val="left" w:pos="5040"/>
        <w:tab w:val="left" w:pos="5760"/>
        <w:tab w:val="left" w:pos="6480"/>
      </w:tabs>
    </w:pPr>
    <w:r>
      <w:rPr>
        <w:noProof/>
        <w:lang w:eastAsia="en-GB"/>
      </w:rPr>
      <w:drawing>
        <wp:anchor distT="0" distB="0" distL="114300" distR="114300" simplePos="0" relativeHeight="251661312" behindDoc="0" locked="0" layoutInCell="1" allowOverlap="1" wp14:anchorId="512FC75C" wp14:editId="30FFE8F1">
          <wp:simplePos x="0" y="0"/>
          <wp:positionH relativeFrom="margin">
            <wp:align>right</wp:align>
          </wp:positionH>
          <wp:positionV relativeFrom="paragraph">
            <wp:posOffset>-448310</wp:posOffset>
          </wp:positionV>
          <wp:extent cx="1943740" cy="914400"/>
          <wp:effectExtent l="0" t="0" r="0" b="0"/>
          <wp:wrapNone/>
          <wp:docPr id="1" name="Picture 1" descr="B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R logo"/>
                  <pic:cNvPicPr>
                    <a:picLocks noChangeAspect="1" noChangeArrowheads="1"/>
                  </pic:cNvPicPr>
                </pic:nvPicPr>
                <pic:blipFill>
                  <a:blip r:embed="rId1">
                    <a:extLst>
                      <a:ext uri="{28A0092B-C50C-407E-A947-70E740481C1C}">
                        <a14:useLocalDpi xmlns:a14="http://schemas.microsoft.com/office/drawing/2010/main" val="0"/>
                      </a:ext>
                    </a:extLst>
                  </a:blip>
                  <a:srcRect r="3391"/>
                  <a:stretch>
                    <a:fillRect/>
                  </a:stretch>
                </pic:blipFill>
                <pic:spPr bwMode="auto">
                  <a:xfrm>
                    <a:off x="0" y="0"/>
                    <a:ext cx="1943740" cy="914400"/>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96E52"/>
    <w:multiLevelType w:val="hybridMultilevel"/>
    <w:tmpl w:val="F0C08102"/>
    <w:lvl w:ilvl="0" w:tplc="B4C6877C">
      <w:start w:val="1"/>
      <w:numFmt w:val="decimal"/>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D61A0C"/>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C46829"/>
    <w:multiLevelType w:val="hybridMultilevel"/>
    <w:tmpl w:val="32381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C8052F"/>
    <w:multiLevelType w:val="hybridMultilevel"/>
    <w:tmpl w:val="32DCA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FC5EF0"/>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84BDF"/>
    <w:multiLevelType w:val="hybridMultilevel"/>
    <w:tmpl w:val="FA5A0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B76475"/>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72D48BA"/>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862FBA"/>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8A69F2"/>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013183"/>
    <w:multiLevelType w:val="hybridMultilevel"/>
    <w:tmpl w:val="3AEA766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B3F08"/>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FE847EF"/>
    <w:multiLevelType w:val="hybridMultilevel"/>
    <w:tmpl w:val="3C88B408"/>
    <w:lvl w:ilvl="0" w:tplc="3A961DD0">
      <w:start w:val="1"/>
      <w:numFmt w:val="decimal"/>
      <w:lvlText w:val="%1."/>
      <w:lvlJc w:val="left"/>
      <w:pPr>
        <w:ind w:left="673" w:hanging="360"/>
      </w:pPr>
      <w:rPr>
        <w:rFonts w:ascii="Arial" w:hAnsi="Arial" w:cs="Arial" w:hint="default"/>
        <w:sz w:val="20"/>
        <w:szCs w:val="20"/>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3">
    <w:nsid w:val="24C2609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6164849"/>
    <w:multiLevelType w:val="hybridMultilevel"/>
    <w:tmpl w:val="5434B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46624"/>
    <w:multiLevelType w:val="hybridMultilevel"/>
    <w:tmpl w:val="1F16E1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697B7A"/>
    <w:multiLevelType w:val="hybridMultilevel"/>
    <w:tmpl w:val="C3D8AC20"/>
    <w:lvl w:ilvl="0" w:tplc="E52C62A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CBC63F6"/>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9D0155"/>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80415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9975FB"/>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207707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7D521BD"/>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972DA8"/>
    <w:multiLevelType w:val="hybridMultilevel"/>
    <w:tmpl w:val="5204E9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A7432CD"/>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57011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4E1540"/>
    <w:multiLevelType w:val="hybridMultilevel"/>
    <w:tmpl w:val="FCC2434C"/>
    <w:lvl w:ilvl="0" w:tplc="A9769B3C">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947EC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9F26E3"/>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07F6DC4"/>
    <w:multiLevelType w:val="hybridMultilevel"/>
    <w:tmpl w:val="FB00D4D0"/>
    <w:lvl w:ilvl="0" w:tplc="7E8A13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8836921"/>
    <w:multiLevelType w:val="hybridMultilevel"/>
    <w:tmpl w:val="427E5C88"/>
    <w:lvl w:ilvl="0" w:tplc="8BCC9B3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914DE7"/>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CB06B3"/>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251992"/>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D535C1"/>
    <w:multiLevelType w:val="hybridMultilevel"/>
    <w:tmpl w:val="810AD3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FF42846"/>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4827AF3"/>
    <w:multiLevelType w:val="hybridMultilevel"/>
    <w:tmpl w:val="43B4C98C"/>
    <w:lvl w:ilvl="0" w:tplc="AC107F9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50056BF"/>
    <w:multiLevelType w:val="hybridMultilevel"/>
    <w:tmpl w:val="C2E0B6C0"/>
    <w:lvl w:ilvl="0" w:tplc="11FAFEA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0416A5"/>
    <w:multiLevelType w:val="hybridMultilevel"/>
    <w:tmpl w:val="18861F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CEE0584"/>
    <w:multiLevelType w:val="hybridMultilevel"/>
    <w:tmpl w:val="9DA8E47A"/>
    <w:lvl w:ilvl="0" w:tplc="C772EACE">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EBF3919"/>
    <w:multiLevelType w:val="hybridMultilevel"/>
    <w:tmpl w:val="97AC22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25"/>
  </w:num>
  <w:num w:numId="5">
    <w:abstractNumId w:val="33"/>
  </w:num>
  <w:num w:numId="6">
    <w:abstractNumId w:val="17"/>
  </w:num>
  <w:num w:numId="7">
    <w:abstractNumId w:val="3"/>
  </w:num>
  <w:num w:numId="8">
    <w:abstractNumId w:val="18"/>
  </w:num>
  <w:num w:numId="9">
    <w:abstractNumId w:val="19"/>
  </w:num>
  <w:num w:numId="10">
    <w:abstractNumId w:val="8"/>
  </w:num>
  <w:num w:numId="11">
    <w:abstractNumId w:val="31"/>
  </w:num>
  <w:num w:numId="12">
    <w:abstractNumId w:val="1"/>
  </w:num>
  <w:num w:numId="13">
    <w:abstractNumId w:val="4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6"/>
  </w:num>
  <w:num w:numId="18">
    <w:abstractNumId w:val="21"/>
  </w:num>
  <w:num w:numId="19">
    <w:abstractNumId w:val="26"/>
  </w:num>
  <w:num w:numId="20">
    <w:abstractNumId w:val="30"/>
  </w:num>
  <w:num w:numId="21">
    <w:abstractNumId w:val="12"/>
  </w:num>
  <w:num w:numId="22">
    <w:abstractNumId w:val="28"/>
  </w:num>
  <w:num w:numId="23">
    <w:abstractNumId w:val="38"/>
  </w:num>
  <w:num w:numId="24">
    <w:abstractNumId w:val="29"/>
  </w:num>
  <w:num w:numId="25">
    <w:abstractNumId w:val="14"/>
  </w:num>
  <w:num w:numId="26">
    <w:abstractNumId w:val="11"/>
  </w:num>
  <w:num w:numId="27">
    <w:abstractNumId w:val="13"/>
  </w:num>
  <w:num w:numId="28">
    <w:abstractNumId w:val="4"/>
  </w:num>
  <w:num w:numId="29">
    <w:abstractNumId w:val="35"/>
  </w:num>
  <w:num w:numId="30">
    <w:abstractNumId w:val="22"/>
  </w:num>
  <w:num w:numId="31">
    <w:abstractNumId w:val="7"/>
  </w:num>
  <w:num w:numId="32">
    <w:abstractNumId w:val="39"/>
  </w:num>
  <w:num w:numId="33">
    <w:abstractNumId w:val="10"/>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4"/>
  </w:num>
  <w:num w:numId="37">
    <w:abstractNumId w:val="9"/>
  </w:num>
  <w:num w:numId="38">
    <w:abstractNumId w:val="23"/>
  </w:num>
  <w:num w:numId="39">
    <w:abstractNumId w:val="36"/>
  </w:num>
  <w:num w:numId="40">
    <w:abstractNumId w:val="27"/>
  </w:num>
  <w:num w:numId="41">
    <w:abstractNumId w:val="20"/>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6zjvFrpMdhe2lV1mL6rcJRt8SlSphLqQN9X7DxJFklXQoQHxiDSpc45F3oN5sAZrhFBcDbnMqP2pB5kldxlXrw==" w:salt="xup4xmy8rn7GKAxdWfth2A=="/>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45"/>
    <w:rsid w:val="0000500C"/>
    <w:rsid w:val="00005DC2"/>
    <w:rsid w:val="0001502A"/>
    <w:rsid w:val="00032632"/>
    <w:rsid w:val="00041371"/>
    <w:rsid w:val="0004211C"/>
    <w:rsid w:val="000750B8"/>
    <w:rsid w:val="000760DA"/>
    <w:rsid w:val="00077947"/>
    <w:rsid w:val="000856DC"/>
    <w:rsid w:val="000917D0"/>
    <w:rsid w:val="000B0333"/>
    <w:rsid w:val="000C7A55"/>
    <w:rsid w:val="000F6901"/>
    <w:rsid w:val="000F781D"/>
    <w:rsid w:val="00104B1F"/>
    <w:rsid w:val="00126DF3"/>
    <w:rsid w:val="00134D3A"/>
    <w:rsid w:val="0016036D"/>
    <w:rsid w:val="00160CDD"/>
    <w:rsid w:val="0016214E"/>
    <w:rsid w:val="00186110"/>
    <w:rsid w:val="001865BA"/>
    <w:rsid w:val="00197836"/>
    <w:rsid w:val="001A1B36"/>
    <w:rsid w:val="001C6FD8"/>
    <w:rsid w:val="001C7AFE"/>
    <w:rsid w:val="001D098E"/>
    <w:rsid w:val="001E07CC"/>
    <w:rsid w:val="001F1CC6"/>
    <w:rsid w:val="0020558B"/>
    <w:rsid w:val="00214CBB"/>
    <w:rsid w:val="00215197"/>
    <w:rsid w:val="00222183"/>
    <w:rsid w:val="00234045"/>
    <w:rsid w:val="002342EC"/>
    <w:rsid w:val="002364C6"/>
    <w:rsid w:val="00241478"/>
    <w:rsid w:val="00241ECE"/>
    <w:rsid w:val="0024265C"/>
    <w:rsid w:val="0024651A"/>
    <w:rsid w:val="00252095"/>
    <w:rsid w:val="002671D5"/>
    <w:rsid w:val="002709CC"/>
    <w:rsid w:val="00270B08"/>
    <w:rsid w:val="00272A84"/>
    <w:rsid w:val="002809E0"/>
    <w:rsid w:val="00285D6E"/>
    <w:rsid w:val="002C1C09"/>
    <w:rsid w:val="002D01AD"/>
    <w:rsid w:val="002E0D4E"/>
    <w:rsid w:val="002E1B4E"/>
    <w:rsid w:val="002E5A1D"/>
    <w:rsid w:val="002E6888"/>
    <w:rsid w:val="00300289"/>
    <w:rsid w:val="00303E90"/>
    <w:rsid w:val="00320699"/>
    <w:rsid w:val="003413AC"/>
    <w:rsid w:val="00354724"/>
    <w:rsid w:val="00357A02"/>
    <w:rsid w:val="00374E37"/>
    <w:rsid w:val="00376A86"/>
    <w:rsid w:val="00384499"/>
    <w:rsid w:val="0039078E"/>
    <w:rsid w:val="003944A6"/>
    <w:rsid w:val="003B31C2"/>
    <w:rsid w:val="003C1217"/>
    <w:rsid w:val="003D10FA"/>
    <w:rsid w:val="003E034C"/>
    <w:rsid w:val="003E23B6"/>
    <w:rsid w:val="003F400B"/>
    <w:rsid w:val="003F638B"/>
    <w:rsid w:val="00402382"/>
    <w:rsid w:val="004037B0"/>
    <w:rsid w:val="00427931"/>
    <w:rsid w:val="00441FEE"/>
    <w:rsid w:val="004561D7"/>
    <w:rsid w:val="004818F1"/>
    <w:rsid w:val="0048613C"/>
    <w:rsid w:val="004C2CD3"/>
    <w:rsid w:val="004D2139"/>
    <w:rsid w:val="004D2188"/>
    <w:rsid w:val="004D5974"/>
    <w:rsid w:val="004D5F5F"/>
    <w:rsid w:val="004D713A"/>
    <w:rsid w:val="004D7296"/>
    <w:rsid w:val="004E4206"/>
    <w:rsid w:val="004F37B6"/>
    <w:rsid w:val="004F7CC4"/>
    <w:rsid w:val="005004A6"/>
    <w:rsid w:val="00506B6B"/>
    <w:rsid w:val="00522505"/>
    <w:rsid w:val="0052568E"/>
    <w:rsid w:val="00534A16"/>
    <w:rsid w:val="005459D5"/>
    <w:rsid w:val="00566E94"/>
    <w:rsid w:val="005750CD"/>
    <w:rsid w:val="00587423"/>
    <w:rsid w:val="0059443C"/>
    <w:rsid w:val="00594881"/>
    <w:rsid w:val="0059554A"/>
    <w:rsid w:val="005955BE"/>
    <w:rsid w:val="005A39D3"/>
    <w:rsid w:val="005A5188"/>
    <w:rsid w:val="005A5F7D"/>
    <w:rsid w:val="005A7A06"/>
    <w:rsid w:val="005B5B21"/>
    <w:rsid w:val="005C1921"/>
    <w:rsid w:val="005C7DE2"/>
    <w:rsid w:val="005D42B8"/>
    <w:rsid w:val="005E0222"/>
    <w:rsid w:val="005E2FC9"/>
    <w:rsid w:val="005E3406"/>
    <w:rsid w:val="00606A4A"/>
    <w:rsid w:val="00607E03"/>
    <w:rsid w:val="00623B6D"/>
    <w:rsid w:val="00623C8F"/>
    <w:rsid w:val="00633F9D"/>
    <w:rsid w:val="0063717A"/>
    <w:rsid w:val="006375A2"/>
    <w:rsid w:val="0064114F"/>
    <w:rsid w:val="006436C2"/>
    <w:rsid w:val="006766ED"/>
    <w:rsid w:val="006774AA"/>
    <w:rsid w:val="00694C20"/>
    <w:rsid w:val="006969A1"/>
    <w:rsid w:val="006A51E3"/>
    <w:rsid w:val="006B5DD9"/>
    <w:rsid w:val="006D77BC"/>
    <w:rsid w:val="006F39B0"/>
    <w:rsid w:val="006F5F76"/>
    <w:rsid w:val="006F6618"/>
    <w:rsid w:val="0070746C"/>
    <w:rsid w:val="007179B9"/>
    <w:rsid w:val="007217AD"/>
    <w:rsid w:val="00730141"/>
    <w:rsid w:val="0073460E"/>
    <w:rsid w:val="007531AC"/>
    <w:rsid w:val="00755BB0"/>
    <w:rsid w:val="00766C97"/>
    <w:rsid w:val="007704BA"/>
    <w:rsid w:val="00794EBA"/>
    <w:rsid w:val="007A30B7"/>
    <w:rsid w:val="007A4D1E"/>
    <w:rsid w:val="007D6AB7"/>
    <w:rsid w:val="007F7A3A"/>
    <w:rsid w:val="00831035"/>
    <w:rsid w:val="0084332A"/>
    <w:rsid w:val="00855E1A"/>
    <w:rsid w:val="00861368"/>
    <w:rsid w:val="0086351F"/>
    <w:rsid w:val="00896D3A"/>
    <w:rsid w:val="008A275A"/>
    <w:rsid w:val="008C5F64"/>
    <w:rsid w:val="008D4ABE"/>
    <w:rsid w:val="008E2AF0"/>
    <w:rsid w:val="008F6520"/>
    <w:rsid w:val="00915F17"/>
    <w:rsid w:val="00932250"/>
    <w:rsid w:val="00932D8D"/>
    <w:rsid w:val="009449D9"/>
    <w:rsid w:val="009466D3"/>
    <w:rsid w:val="0095589F"/>
    <w:rsid w:val="00967BE3"/>
    <w:rsid w:val="00971C09"/>
    <w:rsid w:val="00981483"/>
    <w:rsid w:val="009865ED"/>
    <w:rsid w:val="009A63DE"/>
    <w:rsid w:val="009A682A"/>
    <w:rsid w:val="009A7A44"/>
    <w:rsid w:val="009C764F"/>
    <w:rsid w:val="009F077B"/>
    <w:rsid w:val="009F269F"/>
    <w:rsid w:val="009F7F11"/>
    <w:rsid w:val="00A01009"/>
    <w:rsid w:val="00A0552C"/>
    <w:rsid w:val="00A14F92"/>
    <w:rsid w:val="00A21E45"/>
    <w:rsid w:val="00A25502"/>
    <w:rsid w:val="00A30833"/>
    <w:rsid w:val="00A36950"/>
    <w:rsid w:val="00A370EF"/>
    <w:rsid w:val="00A41A24"/>
    <w:rsid w:val="00A4776C"/>
    <w:rsid w:val="00A54B6C"/>
    <w:rsid w:val="00A62384"/>
    <w:rsid w:val="00A74535"/>
    <w:rsid w:val="00A751FC"/>
    <w:rsid w:val="00A9443A"/>
    <w:rsid w:val="00AB4D39"/>
    <w:rsid w:val="00AB6864"/>
    <w:rsid w:val="00AC5C0C"/>
    <w:rsid w:val="00AC7519"/>
    <w:rsid w:val="00AD1D5F"/>
    <w:rsid w:val="00AE09D5"/>
    <w:rsid w:val="00AE1708"/>
    <w:rsid w:val="00AE3818"/>
    <w:rsid w:val="00B0193A"/>
    <w:rsid w:val="00B10EBF"/>
    <w:rsid w:val="00B21484"/>
    <w:rsid w:val="00B33629"/>
    <w:rsid w:val="00B41FFB"/>
    <w:rsid w:val="00B81537"/>
    <w:rsid w:val="00BA026A"/>
    <w:rsid w:val="00BA23C1"/>
    <w:rsid w:val="00BC1561"/>
    <w:rsid w:val="00BE243A"/>
    <w:rsid w:val="00BE7695"/>
    <w:rsid w:val="00BF3929"/>
    <w:rsid w:val="00C059FD"/>
    <w:rsid w:val="00C311BD"/>
    <w:rsid w:val="00C420DF"/>
    <w:rsid w:val="00C43EB0"/>
    <w:rsid w:val="00C519C8"/>
    <w:rsid w:val="00C524BD"/>
    <w:rsid w:val="00C61A2C"/>
    <w:rsid w:val="00C65444"/>
    <w:rsid w:val="00C712BA"/>
    <w:rsid w:val="00C76204"/>
    <w:rsid w:val="00C944BE"/>
    <w:rsid w:val="00CA5D27"/>
    <w:rsid w:val="00CB03FC"/>
    <w:rsid w:val="00CB5BEE"/>
    <w:rsid w:val="00CC378A"/>
    <w:rsid w:val="00CC4E07"/>
    <w:rsid w:val="00CC6026"/>
    <w:rsid w:val="00D01CFF"/>
    <w:rsid w:val="00D143A7"/>
    <w:rsid w:val="00D31A43"/>
    <w:rsid w:val="00D34211"/>
    <w:rsid w:val="00D40C13"/>
    <w:rsid w:val="00D47C11"/>
    <w:rsid w:val="00D53F74"/>
    <w:rsid w:val="00D631A9"/>
    <w:rsid w:val="00D70D06"/>
    <w:rsid w:val="00D757D6"/>
    <w:rsid w:val="00D82A51"/>
    <w:rsid w:val="00D97D47"/>
    <w:rsid w:val="00DA205A"/>
    <w:rsid w:val="00DA7366"/>
    <w:rsid w:val="00DB0AE1"/>
    <w:rsid w:val="00DC2EE3"/>
    <w:rsid w:val="00DC53FE"/>
    <w:rsid w:val="00DC6086"/>
    <w:rsid w:val="00DD03DA"/>
    <w:rsid w:val="00DD4709"/>
    <w:rsid w:val="00DD5319"/>
    <w:rsid w:val="00DD669E"/>
    <w:rsid w:val="00DD6900"/>
    <w:rsid w:val="00DE4A25"/>
    <w:rsid w:val="00DF230F"/>
    <w:rsid w:val="00DF7D00"/>
    <w:rsid w:val="00E159AF"/>
    <w:rsid w:val="00E22943"/>
    <w:rsid w:val="00E3055A"/>
    <w:rsid w:val="00E31C78"/>
    <w:rsid w:val="00E4321D"/>
    <w:rsid w:val="00E51F8F"/>
    <w:rsid w:val="00E52E30"/>
    <w:rsid w:val="00E6760B"/>
    <w:rsid w:val="00E73F03"/>
    <w:rsid w:val="00E805CD"/>
    <w:rsid w:val="00E8472E"/>
    <w:rsid w:val="00E8609B"/>
    <w:rsid w:val="00EB08B7"/>
    <w:rsid w:val="00ED329C"/>
    <w:rsid w:val="00EE1154"/>
    <w:rsid w:val="00EF664B"/>
    <w:rsid w:val="00F14909"/>
    <w:rsid w:val="00F52982"/>
    <w:rsid w:val="00F66B94"/>
    <w:rsid w:val="00F72AFB"/>
    <w:rsid w:val="00FA2BAA"/>
    <w:rsid w:val="00FA61A4"/>
    <w:rsid w:val="00FC55DB"/>
    <w:rsid w:val="00FC5786"/>
    <w:rsid w:val="00FD55F6"/>
    <w:rsid w:val="00FE1395"/>
    <w:rsid w:val="00FE7E55"/>
    <w:rsid w:val="00FF43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chartTrackingRefBased/>
  <w15:docId w15:val="{61C5260B-2309-4CE1-AD1C-D6E335BE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4BD"/>
  </w:style>
  <w:style w:type="paragraph" w:styleId="Heading1">
    <w:name w:val="heading 1"/>
    <w:basedOn w:val="Normal"/>
    <w:next w:val="Normal"/>
    <w:link w:val="Heading1Char"/>
    <w:uiPriority w:val="9"/>
    <w:qFormat/>
    <w:rsid w:val="00A21E45"/>
    <w:pPr>
      <w:keepNext/>
      <w:jc w:val="center"/>
      <w:outlineLvl w:val="0"/>
    </w:pPr>
    <w:rPr>
      <w:sz w:val="28"/>
      <w:szCs w:val="28"/>
    </w:rPr>
  </w:style>
  <w:style w:type="paragraph" w:styleId="Heading2">
    <w:name w:val="heading 2"/>
    <w:basedOn w:val="Normal"/>
    <w:next w:val="Normal"/>
    <w:link w:val="Heading2Char"/>
    <w:uiPriority w:val="9"/>
    <w:unhideWhenUsed/>
    <w:qFormat/>
    <w:rsid w:val="00D631A9"/>
    <w:pPr>
      <w:keepNext/>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E45"/>
    <w:rPr>
      <w:sz w:val="28"/>
      <w:szCs w:val="28"/>
    </w:rPr>
  </w:style>
  <w:style w:type="table" w:styleId="TableGrid">
    <w:name w:val="Table Grid"/>
    <w:basedOn w:val="TableNormal"/>
    <w:uiPriority w:val="39"/>
    <w:rsid w:val="00A2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269F"/>
    <w:pPr>
      <w:ind w:left="720"/>
      <w:contextualSpacing/>
    </w:pPr>
  </w:style>
  <w:style w:type="character" w:styleId="Hyperlink">
    <w:name w:val="Hyperlink"/>
    <w:basedOn w:val="DefaultParagraphFont"/>
    <w:uiPriority w:val="99"/>
    <w:unhideWhenUsed/>
    <w:rsid w:val="00A30833"/>
    <w:rPr>
      <w:color w:val="0563C1" w:themeColor="hyperlink"/>
      <w:u w:val="single"/>
    </w:rPr>
  </w:style>
  <w:style w:type="character" w:customStyle="1" w:styleId="Heading2Char">
    <w:name w:val="Heading 2 Char"/>
    <w:basedOn w:val="DefaultParagraphFont"/>
    <w:link w:val="Heading2"/>
    <w:uiPriority w:val="9"/>
    <w:rsid w:val="00D631A9"/>
    <w:rPr>
      <w:b/>
      <w:sz w:val="24"/>
      <w:szCs w:val="24"/>
    </w:rPr>
  </w:style>
  <w:style w:type="paragraph" w:styleId="Header">
    <w:name w:val="header"/>
    <w:basedOn w:val="Normal"/>
    <w:link w:val="HeaderChar"/>
    <w:uiPriority w:val="99"/>
    <w:unhideWhenUsed/>
    <w:rsid w:val="00F72AFB"/>
    <w:pPr>
      <w:tabs>
        <w:tab w:val="center" w:pos="4513"/>
        <w:tab w:val="right" w:pos="9026"/>
      </w:tabs>
    </w:pPr>
  </w:style>
  <w:style w:type="character" w:customStyle="1" w:styleId="HeaderChar">
    <w:name w:val="Header Char"/>
    <w:basedOn w:val="DefaultParagraphFont"/>
    <w:link w:val="Header"/>
    <w:uiPriority w:val="99"/>
    <w:rsid w:val="00F72AFB"/>
  </w:style>
  <w:style w:type="paragraph" w:styleId="Footer">
    <w:name w:val="footer"/>
    <w:basedOn w:val="Normal"/>
    <w:link w:val="FooterChar"/>
    <w:uiPriority w:val="99"/>
    <w:unhideWhenUsed/>
    <w:rsid w:val="00F72AFB"/>
    <w:pPr>
      <w:tabs>
        <w:tab w:val="center" w:pos="4513"/>
        <w:tab w:val="right" w:pos="9026"/>
      </w:tabs>
    </w:pPr>
  </w:style>
  <w:style w:type="character" w:customStyle="1" w:styleId="FooterChar">
    <w:name w:val="Footer Char"/>
    <w:basedOn w:val="DefaultParagraphFont"/>
    <w:link w:val="Footer"/>
    <w:uiPriority w:val="99"/>
    <w:rsid w:val="00F72AFB"/>
  </w:style>
  <w:style w:type="character" w:styleId="FollowedHyperlink">
    <w:name w:val="FollowedHyperlink"/>
    <w:basedOn w:val="DefaultParagraphFont"/>
    <w:uiPriority w:val="99"/>
    <w:semiHidden/>
    <w:unhideWhenUsed/>
    <w:rsid w:val="00FA2BAA"/>
    <w:rPr>
      <w:color w:val="954F72" w:themeColor="followedHyperlink"/>
      <w:u w:val="single"/>
    </w:rPr>
  </w:style>
  <w:style w:type="paragraph" w:styleId="NoSpacing">
    <w:name w:val="No Spacing"/>
    <w:link w:val="NoSpacingChar"/>
    <w:uiPriority w:val="1"/>
    <w:qFormat/>
    <w:rsid w:val="00E3055A"/>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E3055A"/>
    <w:rPr>
      <w:rFonts w:asciiTheme="minorHAnsi" w:eastAsiaTheme="minorEastAsia" w:hAnsiTheme="minorHAnsi"/>
      <w:lang w:val="en-US"/>
    </w:rPr>
  </w:style>
  <w:style w:type="paragraph" w:styleId="BodyText">
    <w:name w:val="Body Text"/>
    <w:basedOn w:val="Normal"/>
    <w:link w:val="BodyTextChar"/>
    <w:uiPriority w:val="99"/>
    <w:unhideWhenUsed/>
    <w:rsid w:val="00E3055A"/>
    <w:rPr>
      <w:rFonts w:cs="Arial"/>
      <w:b/>
      <w:bCs/>
    </w:rPr>
  </w:style>
  <w:style w:type="character" w:customStyle="1" w:styleId="BodyTextChar">
    <w:name w:val="Body Text Char"/>
    <w:basedOn w:val="DefaultParagraphFont"/>
    <w:link w:val="BodyText"/>
    <w:uiPriority w:val="99"/>
    <w:rsid w:val="00E3055A"/>
    <w:rPr>
      <w:rFonts w:cs="Arial"/>
      <w:b/>
      <w:bCs/>
    </w:rPr>
  </w:style>
  <w:style w:type="paragraph" w:styleId="Revision">
    <w:name w:val="Revision"/>
    <w:hidden/>
    <w:uiPriority w:val="99"/>
    <w:semiHidden/>
    <w:rsid w:val="00C76204"/>
  </w:style>
  <w:style w:type="paragraph" w:styleId="BalloonText">
    <w:name w:val="Balloon Text"/>
    <w:basedOn w:val="Normal"/>
    <w:link w:val="BalloonTextChar"/>
    <w:uiPriority w:val="99"/>
    <w:semiHidden/>
    <w:unhideWhenUsed/>
    <w:rsid w:val="00C762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204"/>
    <w:rPr>
      <w:rFonts w:ascii="Segoe UI" w:hAnsi="Segoe UI" w:cs="Segoe UI"/>
      <w:sz w:val="18"/>
      <w:szCs w:val="18"/>
    </w:rPr>
  </w:style>
  <w:style w:type="paragraph" w:styleId="BodyText2">
    <w:name w:val="Body Text 2"/>
    <w:basedOn w:val="Normal"/>
    <w:link w:val="BodyText2Char"/>
    <w:uiPriority w:val="99"/>
    <w:unhideWhenUsed/>
    <w:rsid w:val="00F52982"/>
    <w:rPr>
      <w:sz w:val="24"/>
      <w:szCs w:val="24"/>
    </w:rPr>
  </w:style>
  <w:style w:type="character" w:customStyle="1" w:styleId="BodyText2Char">
    <w:name w:val="Body Text 2 Char"/>
    <w:basedOn w:val="DefaultParagraphFont"/>
    <w:link w:val="BodyText2"/>
    <w:uiPriority w:val="99"/>
    <w:rsid w:val="00F52982"/>
    <w:rPr>
      <w:sz w:val="24"/>
      <w:szCs w:val="24"/>
    </w:rPr>
  </w:style>
  <w:style w:type="character" w:styleId="CommentReference">
    <w:name w:val="annotation reference"/>
    <w:basedOn w:val="DefaultParagraphFont"/>
    <w:uiPriority w:val="99"/>
    <w:semiHidden/>
    <w:unhideWhenUsed/>
    <w:rsid w:val="00E4321D"/>
    <w:rPr>
      <w:sz w:val="16"/>
      <w:szCs w:val="16"/>
    </w:rPr>
  </w:style>
  <w:style w:type="paragraph" w:styleId="CommentText">
    <w:name w:val="annotation text"/>
    <w:basedOn w:val="Normal"/>
    <w:link w:val="CommentTextChar"/>
    <w:uiPriority w:val="99"/>
    <w:semiHidden/>
    <w:unhideWhenUsed/>
    <w:rsid w:val="00E4321D"/>
    <w:rPr>
      <w:sz w:val="20"/>
      <w:szCs w:val="20"/>
    </w:rPr>
  </w:style>
  <w:style w:type="character" w:customStyle="1" w:styleId="CommentTextChar">
    <w:name w:val="Comment Text Char"/>
    <w:basedOn w:val="DefaultParagraphFont"/>
    <w:link w:val="CommentText"/>
    <w:uiPriority w:val="99"/>
    <w:semiHidden/>
    <w:rsid w:val="00E4321D"/>
    <w:rPr>
      <w:sz w:val="20"/>
      <w:szCs w:val="20"/>
    </w:rPr>
  </w:style>
  <w:style w:type="paragraph" w:styleId="CommentSubject">
    <w:name w:val="annotation subject"/>
    <w:basedOn w:val="CommentText"/>
    <w:next w:val="CommentText"/>
    <w:link w:val="CommentSubjectChar"/>
    <w:uiPriority w:val="99"/>
    <w:semiHidden/>
    <w:unhideWhenUsed/>
    <w:rsid w:val="00E4321D"/>
    <w:rPr>
      <w:b/>
      <w:bCs/>
    </w:rPr>
  </w:style>
  <w:style w:type="character" w:customStyle="1" w:styleId="CommentSubjectChar">
    <w:name w:val="Comment Subject Char"/>
    <w:basedOn w:val="CommentTextChar"/>
    <w:link w:val="CommentSubject"/>
    <w:uiPriority w:val="99"/>
    <w:semiHidden/>
    <w:rsid w:val="00E4321D"/>
    <w:rPr>
      <w:b/>
      <w:bCs/>
      <w:sz w:val="20"/>
      <w:szCs w:val="20"/>
    </w:rPr>
  </w:style>
  <w:style w:type="character" w:customStyle="1" w:styleId="source-copyright">
    <w:name w:val="source-copyright"/>
    <w:basedOn w:val="DefaultParagraphFont"/>
    <w:rsid w:val="00E4321D"/>
  </w:style>
  <w:style w:type="paragraph" w:styleId="NormalWeb">
    <w:name w:val="Normal (Web)"/>
    <w:basedOn w:val="Normal"/>
    <w:uiPriority w:val="99"/>
    <w:semiHidden/>
    <w:unhideWhenUsed/>
    <w:rsid w:val="00E4321D"/>
    <w:pPr>
      <w:spacing w:after="143"/>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s.org.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hsbsa.nhs.uk/pharmacies-gp-practices-and-appliance-contractors/drug-tariff" TargetMode="External"/><Relationship Id="rId4" Type="http://schemas.openxmlformats.org/officeDocument/2006/relationships/settings" Target="settings.xml"/><Relationship Id="rId9" Type="http://schemas.openxmlformats.org/officeDocument/2006/relationships/hyperlink" Target="https://www.medicinesforchildren.org.uk/captopril-heart-failure-0"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AC13-F5BF-432B-99F5-0C5CC15B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Vicki - QIPP Programme Pharmacist</dc:creator>
  <cp:keywords/>
  <dc:description/>
  <cp:lastModifiedBy>Kong Vicki - QIPP Programme Pharmacist</cp:lastModifiedBy>
  <cp:revision>3</cp:revision>
  <dcterms:created xsi:type="dcterms:W3CDTF">2020-03-04T12:51:00Z</dcterms:created>
  <dcterms:modified xsi:type="dcterms:W3CDTF">2020-03-04T13:02:00Z</dcterms:modified>
  <cp:contentStatus/>
</cp:coreProperties>
</file>