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77"/>
        <w:gridCol w:w="2931"/>
        <w:gridCol w:w="2717"/>
        <w:gridCol w:w="1791"/>
      </w:tblGrid>
      <w:tr w:rsidR="005B5B21" w:rsidTr="0039078E">
        <w:tc>
          <w:tcPr>
            <w:tcW w:w="9016" w:type="dxa"/>
            <w:gridSpan w:val="4"/>
            <w:tcBorders>
              <w:top w:val="single" w:sz="4" w:space="0" w:color="auto"/>
              <w:left w:val="single" w:sz="4" w:space="0" w:color="auto"/>
              <w:bottom w:val="single" w:sz="4" w:space="0" w:color="auto"/>
              <w:right w:val="single" w:sz="4" w:space="0" w:color="auto"/>
            </w:tcBorders>
            <w:shd w:val="clear" w:color="auto" w:fill="92D050"/>
          </w:tcPr>
          <w:p w:rsidR="005B5B21" w:rsidRPr="00AD1D5F" w:rsidRDefault="005B5B21" w:rsidP="0039078E">
            <w:pPr>
              <w:pStyle w:val="Heading1"/>
            </w:pPr>
            <w:bookmarkStart w:id="0" w:name="_GoBack"/>
            <w:bookmarkEnd w:id="0"/>
            <w:r w:rsidRPr="00AD1D5F">
              <w:t>Acetylcysteine</w:t>
            </w:r>
          </w:p>
        </w:tc>
      </w:tr>
      <w:tr w:rsidR="00D256F5" w:rsidTr="00B43FD8">
        <w:trPr>
          <w:trHeight w:val="278"/>
        </w:trPr>
        <w:tc>
          <w:tcPr>
            <w:tcW w:w="1577"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D256F5" w:rsidRDefault="00D256F5" w:rsidP="0039078E">
            <w:pPr>
              <w:rPr>
                <w:sz w:val="24"/>
                <w:szCs w:val="24"/>
              </w:rPr>
            </w:pPr>
            <w:r>
              <w:rPr>
                <w:sz w:val="24"/>
                <w:szCs w:val="24"/>
              </w:rPr>
              <w:t>Preparations listed in the Drug tariff</w:t>
            </w:r>
          </w:p>
        </w:tc>
        <w:tc>
          <w:tcPr>
            <w:tcW w:w="5648" w:type="dxa"/>
            <w:gridSpan w:val="2"/>
            <w:tcBorders>
              <w:top w:val="single" w:sz="4" w:space="0" w:color="auto"/>
              <w:left w:val="single" w:sz="4" w:space="0" w:color="auto"/>
              <w:bottom w:val="single" w:sz="4" w:space="0" w:color="auto"/>
              <w:right w:val="single" w:sz="4" w:space="0" w:color="auto"/>
            </w:tcBorders>
          </w:tcPr>
          <w:p w:rsidR="00D256F5" w:rsidRPr="00D256F5" w:rsidRDefault="00FC7E87" w:rsidP="00D256F5">
            <w:pPr>
              <w:rPr>
                <w:b/>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D256F5" w:rsidRPr="00D256F5">
                <w:rPr>
                  <w:rStyle w:val="Hyperlink"/>
                  <w:b/>
                </w:rPr>
                <w:t>Part VIIIA (hover the mouse here for more info):</w:t>
              </w:r>
            </w:hyperlink>
          </w:p>
        </w:tc>
        <w:tc>
          <w:tcPr>
            <w:tcW w:w="1791" w:type="dxa"/>
            <w:tcBorders>
              <w:top w:val="single" w:sz="4" w:space="0" w:color="auto"/>
              <w:left w:val="single" w:sz="4" w:space="0" w:color="auto"/>
              <w:bottom w:val="single" w:sz="4" w:space="0" w:color="auto"/>
              <w:right w:val="single" w:sz="4" w:space="0" w:color="auto"/>
            </w:tcBorders>
          </w:tcPr>
          <w:p w:rsidR="00D256F5" w:rsidRPr="00D256F5" w:rsidRDefault="00D256F5" w:rsidP="00D256F5">
            <w:r w:rsidRPr="00D256F5">
              <w:t xml:space="preserve"> </w:t>
            </w:r>
            <w:r w:rsidRPr="00FF40C6">
              <w:rPr>
                <w:rFonts w:cs="Arial"/>
                <w:b/>
              </w:rPr>
              <w:t>DT price</w:t>
            </w:r>
          </w:p>
        </w:tc>
      </w:tr>
      <w:tr w:rsidR="00D256F5" w:rsidTr="00B43FD8">
        <w:trPr>
          <w:trHeight w:val="278"/>
        </w:trPr>
        <w:tc>
          <w:tcPr>
            <w:tcW w:w="1577" w:type="dxa"/>
            <w:vMerge/>
            <w:tcBorders>
              <w:top w:val="single" w:sz="4" w:space="0" w:color="auto"/>
              <w:left w:val="single" w:sz="4" w:space="0" w:color="auto"/>
              <w:bottom w:val="single" w:sz="4" w:space="0" w:color="auto"/>
              <w:right w:val="single" w:sz="4" w:space="0" w:color="auto"/>
            </w:tcBorders>
            <w:shd w:val="clear" w:color="auto" w:fill="00B0F0"/>
          </w:tcPr>
          <w:p w:rsidR="00D256F5" w:rsidRDefault="00D256F5" w:rsidP="0039078E">
            <w:pPr>
              <w:rPr>
                <w:sz w:val="24"/>
                <w:szCs w:val="24"/>
              </w:rPr>
            </w:pPr>
          </w:p>
        </w:tc>
        <w:tc>
          <w:tcPr>
            <w:tcW w:w="5648" w:type="dxa"/>
            <w:gridSpan w:val="2"/>
            <w:tcBorders>
              <w:top w:val="single" w:sz="4" w:space="0" w:color="auto"/>
              <w:left w:val="single" w:sz="4" w:space="0" w:color="auto"/>
              <w:bottom w:val="single" w:sz="4" w:space="0" w:color="auto"/>
              <w:right w:val="single" w:sz="4" w:space="0" w:color="auto"/>
            </w:tcBorders>
          </w:tcPr>
          <w:p w:rsidR="00D256F5" w:rsidRPr="00D256F5" w:rsidRDefault="00D256F5" w:rsidP="00D256F5">
            <w:r w:rsidRPr="00D256F5">
              <w:t>Acetylcysteine 200mg oral powder sachets sugar free</w:t>
            </w:r>
          </w:p>
        </w:tc>
        <w:tc>
          <w:tcPr>
            <w:tcW w:w="1791" w:type="dxa"/>
            <w:tcBorders>
              <w:top w:val="single" w:sz="4" w:space="0" w:color="auto"/>
              <w:left w:val="single" w:sz="4" w:space="0" w:color="auto"/>
              <w:bottom w:val="single" w:sz="4" w:space="0" w:color="auto"/>
              <w:right w:val="single" w:sz="4" w:space="0" w:color="auto"/>
            </w:tcBorders>
          </w:tcPr>
          <w:p w:rsidR="00D256F5" w:rsidRPr="00D256F5" w:rsidRDefault="00B43FD8" w:rsidP="005B5B21">
            <w:r>
              <w:t>£112.50 for 30</w:t>
            </w:r>
          </w:p>
        </w:tc>
      </w:tr>
      <w:tr w:rsidR="00D256F5" w:rsidTr="00B43FD8">
        <w:trPr>
          <w:trHeight w:val="278"/>
        </w:trPr>
        <w:tc>
          <w:tcPr>
            <w:tcW w:w="1577" w:type="dxa"/>
            <w:vMerge/>
            <w:tcBorders>
              <w:top w:val="single" w:sz="4" w:space="0" w:color="auto"/>
              <w:left w:val="single" w:sz="4" w:space="0" w:color="auto"/>
              <w:bottom w:val="single" w:sz="4" w:space="0" w:color="auto"/>
              <w:right w:val="single" w:sz="4" w:space="0" w:color="auto"/>
            </w:tcBorders>
            <w:shd w:val="clear" w:color="auto" w:fill="00B0F0"/>
          </w:tcPr>
          <w:p w:rsidR="00D256F5" w:rsidRDefault="00D256F5" w:rsidP="0039078E">
            <w:pPr>
              <w:rPr>
                <w:sz w:val="24"/>
                <w:szCs w:val="24"/>
              </w:rPr>
            </w:pPr>
          </w:p>
        </w:tc>
        <w:tc>
          <w:tcPr>
            <w:tcW w:w="5648" w:type="dxa"/>
            <w:gridSpan w:val="2"/>
            <w:tcBorders>
              <w:top w:val="single" w:sz="4" w:space="0" w:color="auto"/>
              <w:left w:val="single" w:sz="4" w:space="0" w:color="auto"/>
              <w:bottom w:val="single" w:sz="4" w:space="0" w:color="auto"/>
              <w:right w:val="single" w:sz="4" w:space="0" w:color="auto"/>
            </w:tcBorders>
          </w:tcPr>
          <w:p w:rsidR="00D256F5" w:rsidRPr="00D256F5" w:rsidRDefault="00D256F5" w:rsidP="00D256F5">
            <w:r>
              <w:t>Acetylcysteine 600mg capsules</w:t>
            </w:r>
          </w:p>
        </w:tc>
        <w:tc>
          <w:tcPr>
            <w:tcW w:w="1791" w:type="dxa"/>
            <w:tcBorders>
              <w:top w:val="single" w:sz="4" w:space="0" w:color="auto"/>
              <w:left w:val="single" w:sz="4" w:space="0" w:color="auto"/>
              <w:bottom w:val="single" w:sz="4" w:space="0" w:color="auto"/>
              <w:right w:val="single" w:sz="4" w:space="0" w:color="auto"/>
            </w:tcBorders>
          </w:tcPr>
          <w:p w:rsidR="00D256F5" w:rsidRPr="00D256F5" w:rsidRDefault="00B43FD8" w:rsidP="005B5B21">
            <w:r>
              <w:t>£39.95 for 30</w:t>
            </w:r>
          </w:p>
        </w:tc>
      </w:tr>
      <w:tr w:rsidR="00D256F5" w:rsidTr="00B43FD8">
        <w:trPr>
          <w:trHeight w:val="278"/>
        </w:trPr>
        <w:tc>
          <w:tcPr>
            <w:tcW w:w="1577" w:type="dxa"/>
            <w:vMerge/>
            <w:tcBorders>
              <w:top w:val="single" w:sz="4" w:space="0" w:color="auto"/>
              <w:left w:val="single" w:sz="4" w:space="0" w:color="auto"/>
              <w:bottom w:val="single" w:sz="4" w:space="0" w:color="auto"/>
              <w:right w:val="single" w:sz="4" w:space="0" w:color="auto"/>
            </w:tcBorders>
            <w:shd w:val="clear" w:color="auto" w:fill="00B0F0"/>
          </w:tcPr>
          <w:p w:rsidR="00D256F5" w:rsidRDefault="00D256F5" w:rsidP="0039078E">
            <w:pPr>
              <w:rPr>
                <w:sz w:val="24"/>
                <w:szCs w:val="24"/>
              </w:rPr>
            </w:pPr>
          </w:p>
        </w:tc>
        <w:tc>
          <w:tcPr>
            <w:tcW w:w="5648" w:type="dxa"/>
            <w:gridSpan w:val="2"/>
            <w:tcBorders>
              <w:top w:val="single" w:sz="4" w:space="0" w:color="auto"/>
              <w:left w:val="single" w:sz="4" w:space="0" w:color="auto"/>
              <w:bottom w:val="single" w:sz="4" w:space="0" w:color="auto"/>
              <w:right w:val="single" w:sz="4" w:space="0" w:color="auto"/>
            </w:tcBorders>
          </w:tcPr>
          <w:p w:rsidR="00D256F5" w:rsidRPr="00D256F5" w:rsidRDefault="00D256F5" w:rsidP="0039078E">
            <w:r w:rsidRPr="00D256F5">
              <w:t>Acetylcysteine 600mg effervescent tablets sugar free (Aceteff)</w:t>
            </w:r>
          </w:p>
        </w:tc>
        <w:tc>
          <w:tcPr>
            <w:tcW w:w="1791" w:type="dxa"/>
            <w:tcBorders>
              <w:top w:val="single" w:sz="4" w:space="0" w:color="auto"/>
              <w:left w:val="single" w:sz="4" w:space="0" w:color="auto"/>
              <w:bottom w:val="single" w:sz="4" w:space="0" w:color="auto"/>
              <w:right w:val="single" w:sz="4" w:space="0" w:color="auto"/>
            </w:tcBorders>
          </w:tcPr>
          <w:p w:rsidR="00D256F5" w:rsidRPr="00D256F5" w:rsidRDefault="00B43FD8" w:rsidP="005B5B21">
            <w:r>
              <w:t>£89.50 for 30</w:t>
            </w:r>
          </w:p>
        </w:tc>
      </w:tr>
      <w:tr w:rsidR="00D256F5" w:rsidTr="00B43FD8">
        <w:trPr>
          <w:trHeight w:val="278"/>
        </w:trPr>
        <w:tc>
          <w:tcPr>
            <w:tcW w:w="1577" w:type="dxa"/>
            <w:vMerge/>
            <w:tcBorders>
              <w:top w:val="single" w:sz="4" w:space="0" w:color="auto"/>
              <w:left w:val="single" w:sz="4" w:space="0" w:color="auto"/>
              <w:bottom w:val="single" w:sz="4" w:space="0" w:color="auto"/>
              <w:right w:val="single" w:sz="4" w:space="0" w:color="auto"/>
            </w:tcBorders>
            <w:shd w:val="clear" w:color="auto" w:fill="00B0F0"/>
          </w:tcPr>
          <w:p w:rsidR="00D256F5" w:rsidRDefault="00D256F5" w:rsidP="0039078E">
            <w:pPr>
              <w:rPr>
                <w:sz w:val="24"/>
                <w:szCs w:val="24"/>
              </w:rPr>
            </w:pPr>
          </w:p>
        </w:tc>
        <w:tc>
          <w:tcPr>
            <w:tcW w:w="5648" w:type="dxa"/>
            <w:gridSpan w:val="2"/>
            <w:tcBorders>
              <w:top w:val="single" w:sz="4" w:space="0" w:color="auto"/>
              <w:left w:val="single" w:sz="4" w:space="0" w:color="auto"/>
              <w:bottom w:val="single" w:sz="4" w:space="0" w:color="auto"/>
              <w:right w:val="single" w:sz="4" w:space="0" w:color="auto"/>
            </w:tcBorders>
          </w:tcPr>
          <w:p w:rsidR="00D256F5" w:rsidRPr="00D256F5" w:rsidRDefault="00FC7E87" w:rsidP="0039078E">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D256F5" w:rsidRPr="00D256F5">
                <w:rPr>
                  <w:rStyle w:val="Hyperlink"/>
                  <w:b/>
                </w:rPr>
                <w:t>Part VIIIB (hover the mouse here for more info):</w:t>
              </w:r>
            </w:hyperlink>
          </w:p>
        </w:tc>
        <w:tc>
          <w:tcPr>
            <w:tcW w:w="1791" w:type="dxa"/>
            <w:tcBorders>
              <w:top w:val="single" w:sz="4" w:space="0" w:color="auto"/>
              <w:left w:val="single" w:sz="4" w:space="0" w:color="auto"/>
              <w:bottom w:val="single" w:sz="4" w:space="0" w:color="auto"/>
              <w:right w:val="single" w:sz="4" w:space="0" w:color="auto"/>
            </w:tcBorders>
          </w:tcPr>
          <w:p w:rsidR="00D256F5" w:rsidRPr="00D256F5" w:rsidRDefault="00D256F5" w:rsidP="005B5B21">
            <w:r w:rsidRPr="00FF40C6">
              <w:rPr>
                <w:rFonts w:cs="Arial"/>
                <w:b/>
              </w:rPr>
              <w:t>DT price</w:t>
            </w:r>
          </w:p>
        </w:tc>
      </w:tr>
      <w:tr w:rsidR="00D256F5" w:rsidTr="00B43FD8">
        <w:trPr>
          <w:trHeight w:val="278"/>
        </w:trPr>
        <w:tc>
          <w:tcPr>
            <w:tcW w:w="1577" w:type="dxa"/>
            <w:vMerge/>
            <w:tcBorders>
              <w:top w:val="single" w:sz="4" w:space="0" w:color="auto"/>
              <w:left w:val="single" w:sz="4" w:space="0" w:color="auto"/>
              <w:bottom w:val="single" w:sz="4" w:space="0" w:color="auto"/>
              <w:right w:val="single" w:sz="4" w:space="0" w:color="auto"/>
            </w:tcBorders>
            <w:shd w:val="clear" w:color="auto" w:fill="00B0F0"/>
          </w:tcPr>
          <w:p w:rsidR="00D256F5" w:rsidRDefault="00D256F5" w:rsidP="0039078E">
            <w:pPr>
              <w:rPr>
                <w:sz w:val="24"/>
                <w:szCs w:val="24"/>
              </w:rPr>
            </w:pPr>
          </w:p>
        </w:tc>
        <w:tc>
          <w:tcPr>
            <w:tcW w:w="5648" w:type="dxa"/>
            <w:gridSpan w:val="2"/>
            <w:tcBorders>
              <w:top w:val="single" w:sz="4" w:space="0" w:color="auto"/>
              <w:left w:val="single" w:sz="4" w:space="0" w:color="auto"/>
              <w:bottom w:val="single" w:sz="4" w:space="0" w:color="auto"/>
              <w:right w:val="single" w:sz="4" w:space="0" w:color="auto"/>
            </w:tcBorders>
          </w:tcPr>
          <w:p w:rsidR="00D256F5" w:rsidRPr="00D256F5" w:rsidRDefault="00D256F5" w:rsidP="0039078E">
            <w:r>
              <w:t>None</w:t>
            </w:r>
          </w:p>
        </w:tc>
        <w:tc>
          <w:tcPr>
            <w:tcW w:w="1791" w:type="dxa"/>
            <w:tcBorders>
              <w:top w:val="single" w:sz="4" w:space="0" w:color="auto"/>
              <w:left w:val="single" w:sz="4" w:space="0" w:color="auto"/>
              <w:bottom w:val="single" w:sz="4" w:space="0" w:color="auto"/>
              <w:right w:val="single" w:sz="4" w:space="0" w:color="auto"/>
            </w:tcBorders>
          </w:tcPr>
          <w:p w:rsidR="00D256F5" w:rsidRPr="00D256F5" w:rsidRDefault="00D256F5" w:rsidP="005B5B21"/>
        </w:tc>
      </w:tr>
      <w:tr w:rsidR="005B5B21" w:rsidTr="0039078E">
        <w:tc>
          <w:tcPr>
            <w:tcW w:w="901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5B5B21" w:rsidRPr="00D256F5" w:rsidRDefault="005B5B21" w:rsidP="0039078E">
            <w:r w:rsidRPr="00D256F5">
              <w:t>Administration in swallowing difficulties</w:t>
            </w:r>
          </w:p>
        </w:tc>
      </w:tr>
      <w:tr w:rsidR="005B5B21" w:rsidTr="0039078E">
        <w:tc>
          <w:tcPr>
            <w:tcW w:w="9016" w:type="dxa"/>
            <w:gridSpan w:val="4"/>
            <w:tcBorders>
              <w:top w:val="single" w:sz="4" w:space="0" w:color="auto"/>
              <w:left w:val="single" w:sz="4" w:space="0" w:color="auto"/>
              <w:bottom w:val="single" w:sz="4" w:space="0" w:color="auto"/>
              <w:right w:val="single" w:sz="4" w:space="0" w:color="auto"/>
            </w:tcBorders>
          </w:tcPr>
          <w:p w:rsidR="005B5B21" w:rsidRPr="00D256F5" w:rsidRDefault="005B5B21" w:rsidP="005B5B21">
            <w:r w:rsidRPr="00D256F5">
              <w:t>Dissolve the contents of one sachet in a glass containing a little water just before use, stirring as needed with a teaspoon. Upon opening the sachet the powder may smell of sulphur (rotten egg) which is normal. Upon addition of water the solution will have a citrus odour</w:t>
            </w:r>
            <w:r w:rsidRPr="00D256F5">
              <w:rPr>
                <w:vertAlign w:val="superscript"/>
              </w:rPr>
              <w:t>1</w:t>
            </w:r>
            <w:r w:rsidRPr="00D256F5">
              <w:t>.</w:t>
            </w:r>
          </w:p>
          <w:p w:rsidR="00B43FD8" w:rsidRDefault="00B43FD8" w:rsidP="00BF3929"/>
          <w:p w:rsidR="005B5B21" w:rsidRPr="00D256F5" w:rsidRDefault="005B5B21" w:rsidP="00BF3929">
            <w:r w:rsidRPr="00D256F5">
              <w:t>Dissolve one Aceteff tablet completely in a glass of water</w:t>
            </w:r>
            <w:r w:rsidRPr="00D256F5">
              <w:rPr>
                <w:vertAlign w:val="superscript"/>
              </w:rPr>
              <w:t xml:space="preserve"> </w:t>
            </w:r>
            <w:r w:rsidRPr="00D256F5">
              <w:t>before taking</w:t>
            </w:r>
            <w:r w:rsidRPr="00D256F5">
              <w:rPr>
                <w:vertAlign w:val="superscript"/>
              </w:rPr>
              <w:t>2</w:t>
            </w:r>
            <w:r w:rsidRPr="00D256F5">
              <w:t xml:space="preserve">, however, one NACSYS tablet </w:t>
            </w:r>
            <w:r w:rsidR="00BF3929" w:rsidRPr="00D256F5">
              <w:t>(£5.50 for 30</w:t>
            </w:r>
            <w:r w:rsidR="00BF3929" w:rsidRPr="00D256F5">
              <w:rPr>
                <w:vertAlign w:val="superscript"/>
              </w:rPr>
              <w:t>7</w:t>
            </w:r>
            <w:r w:rsidR="00BF3929" w:rsidRPr="00D256F5">
              <w:t xml:space="preserve">) </w:t>
            </w:r>
            <w:r w:rsidRPr="00D256F5">
              <w:t>dissolves in half a glass of water</w:t>
            </w:r>
            <w:r w:rsidRPr="00D256F5">
              <w:rPr>
                <w:vertAlign w:val="superscript"/>
              </w:rPr>
              <w:t>3</w:t>
            </w:r>
            <w:r w:rsidRPr="00D256F5">
              <w:t xml:space="preserve">. During storage, a slight odour of hydrogen sulphide occurs as </w:t>
            </w:r>
            <w:r w:rsidR="00BF3929" w:rsidRPr="00D256F5">
              <w:t xml:space="preserve">part </w:t>
            </w:r>
            <w:r w:rsidRPr="00D256F5">
              <w:t>of the nor</w:t>
            </w:r>
            <w:r w:rsidR="00BF3929" w:rsidRPr="00D256F5">
              <w:t>mal aging process</w:t>
            </w:r>
            <w:r w:rsidRPr="00D256F5">
              <w:rPr>
                <w:vertAlign w:val="superscript"/>
              </w:rPr>
              <w:t>2,3</w:t>
            </w:r>
            <w:r w:rsidRPr="00D256F5">
              <w:t>. This is harmless and does not affect the tolerability or its effectiveness.</w:t>
            </w:r>
          </w:p>
        </w:tc>
      </w:tr>
      <w:tr w:rsidR="005B5B21" w:rsidTr="0039078E">
        <w:tc>
          <w:tcPr>
            <w:tcW w:w="901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5B5B21" w:rsidRPr="00D256F5" w:rsidRDefault="005B5B21" w:rsidP="0039078E">
            <w:r w:rsidRPr="00D256F5">
              <w:t>Administration in enteral feeding tube</w:t>
            </w:r>
          </w:p>
        </w:tc>
      </w:tr>
      <w:tr w:rsidR="005B5B21" w:rsidTr="0039078E">
        <w:tc>
          <w:tcPr>
            <w:tcW w:w="9016" w:type="dxa"/>
            <w:gridSpan w:val="4"/>
            <w:tcBorders>
              <w:top w:val="single" w:sz="4" w:space="0" w:color="auto"/>
              <w:left w:val="single" w:sz="4" w:space="0" w:color="auto"/>
              <w:bottom w:val="single" w:sz="4" w:space="0" w:color="auto"/>
              <w:right w:val="single" w:sz="4" w:space="0" w:color="auto"/>
            </w:tcBorders>
          </w:tcPr>
          <w:p w:rsidR="005B5B21" w:rsidRPr="00D256F5" w:rsidRDefault="005B5B21" w:rsidP="005B5B21">
            <w:r w:rsidRPr="00D256F5">
              <w:t>Dissolve one NACSYS tablet in half a glass of water and administer the resulting solution via an oral syringe (unlicensed)</w:t>
            </w:r>
            <w:r w:rsidRPr="00D256F5">
              <w:rPr>
                <w:vertAlign w:val="superscript"/>
              </w:rPr>
              <w:t>4</w:t>
            </w:r>
            <w:r w:rsidRPr="00D256F5">
              <w:t xml:space="preserve">. </w:t>
            </w:r>
          </w:p>
          <w:p w:rsidR="005B5B21" w:rsidRPr="00D256F5" w:rsidRDefault="005B5B21" w:rsidP="005B5B21">
            <w:r w:rsidRPr="00D256F5">
              <w:t>Please note: acetylcysteine can react with rubber (natural rubber/latex) and metal</w:t>
            </w:r>
            <w:r w:rsidRPr="00D256F5">
              <w:rPr>
                <w:vertAlign w:val="superscript"/>
              </w:rPr>
              <w:t>3,4</w:t>
            </w:r>
            <w:r w:rsidRPr="00D256F5">
              <w:t>. Glass and/or plastic delivery systems are recommended when administering NACSYS via nasogastric or nasointestinal tube</w:t>
            </w:r>
            <w:r w:rsidRPr="00D256F5">
              <w:rPr>
                <w:vertAlign w:val="superscript"/>
              </w:rPr>
              <w:t>3</w:t>
            </w:r>
            <w:r w:rsidRPr="00D256F5">
              <w:t>. Silicone tubing may also be acceptable</w:t>
            </w:r>
            <w:r w:rsidRPr="00D256F5">
              <w:rPr>
                <w:vertAlign w:val="superscript"/>
              </w:rPr>
              <w:t>4</w:t>
            </w:r>
            <w:r w:rsidRPr="00D256F5">
              <w:t>.</w:t>
            </w:r>
          </w:p>
        </w:tc>
      </w:tr>
      <w:tr w:rsidR="005B5B21" w:rsidTr="0039078E">
        <w:tc>
          <w:tcPr>
            <w:tcW w:w="901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5B5B21" w:rsidRPr="00D256F5" w:rsidRDefault="005B5B21" w:rsidP="0039078E">
            <w:r w:rsidRPr="00D256F5">
              <w:t>Comments</w:t>
            </w:r>
          </w:p>
        </w:tc>
      </w:tr>
      <w:tr w:rsidR="005B5B21" w:rsidTr="0039078E">
        <w:tc>
          <w:tcPr>
            <w:tcW w:w="9016" w:type="dxa"/>
            <w:gridSpan w:val="4"/>
            <w:tcBorders>
              <w:top w:val="single" w:sz="4" w:space="0" w:color="auto"/>
              <w:left w:val="single" w:sz="4" w:space="0" w:color="auto"/>
              <w:bottom w:val="single" w:sz="4" w:space="0" w:color="auto"/>
              <w:right w:val="single" w:sz="4" w:space="0" w:color="auto"/>
            </w:tcBorders>
          </w:tcPr>
          <w:p w:rsidR="005B5B21" w:rsidRPr="00D256F5" w:rsidRDefault="005B5B21" w:rsidP="005B5B21">
            <w:r w:rsidRPr="00D256F5">
              <w:t xml:space="preserve">Do not mix antibiotics and acetylcysteine prior to administration due to the possibility of in-vitro inactivation of the antibiotics (mainly </w:t>
            </w:r>
            <w:r w:rsidRPr="00D256F5">
              <w:rPr>
                <w:rFonts w:cs="Arial"/>
              </w:rPr>
              <w:t>β</w:t>
            </w:r>
            <w:r w:rsidRPr="00D256F5">
              <w:t>-lactam antibiotics e.g. penicillins and cephalosporins)</w:t>
            </w:r>
            <w:r w:rsidRPr="00D256F5">
              <w:rPr>
                <w:vertAlign w:val="superscript"/>
              </w:rPr>
              <w:t xml:space="preserve"> 3</w:t>
            </w:r>
            <w:r w:rsidRPr="00D256F5">
              <w:t>.</w:t>
            </w:r>
          </w:p>
          <w:p w:rsidR="005B5B21" w:rsidRPr="00D256F5" w:rsidRDefault="005B5B21" w:rsidP="005B5B21">
            <w:r w:rsidRPr="00D256F5">
              <w:t>Colonis Pharma do not have any information on administration of acetylcysteine powder via a feeding tube</w:t>
            </w:r>
            <w:r w:rsidRPr="00D256F5">
              <w:rPr>
                <w:vertAlign w:val="superscript"/>
              </w:rPr>
              <w:t>5</w:t>
            </w:r>
            <w:r w:rsidRPr="00D256F5">
              <w:t>. Dunelm Pharmaceuticals, the manufacturer of Aceteff was contacted for information but there was no response.</w:t>
            </w:r>
          </w:p>
        </w:tc>
      </w:tr>
      <w:tr w:rsidR="005B5B21" w:rsidTr="00B43FD8">
        <w:trPr>
          <w:trHeight w:val="4032"/>
        </w:trPr>
        <w:tc>
          <w:tcPr>
            <w:tcW w:w="9016" w:type="dxa"/>
            <w:gridSpan w:val="4"/>
            <w:tcBorders>
              <w:top w:val="single" w:sz="4" w:space="0" w:color="auto"/>
              <w:left w:val="single" w:sz="4" w:space="0" w:color="auto"/>
              <w:bottom w:val="single" w:sz="4" w:space="0" w:color="auto"/>
              <w:right w:val="single" w:sz="4" w:space="0" w:color="auto"/>
            </w:tcBorders>
            <w:hideMark/>
          </w:tcPr>
          <w:p w:rsidR="00B43FD8" w:rsidRPr="00B43FD8" w:rsidRDefault="00B43FD8" w:rsidP="00B43FD8">
            <w:pPr>
              <w:rPr>
                <w:sz w:val="20"/>
                <w:szCs w:val="20"/>
              </w:rPr>
            </w:pPr>
            <w:r w:rsidRPr="00B43FD8">
              <w:rPr>
                <w:sz w:val="20"/>
                <w:szCs w:val="20"/>
              </w:rPr>
              <w:t>References</w:t>
            </w:r>
          </w:p>
          <w:p w:rsidR="006969A1" w:rsidRPr="00B43FD8" w:rsidRDefault="006969A1" w:rsidP="006969A1">
            <w:pPr>
              <w:pStyle w:val="ListParagraph"/>
              <w:numPr>
                <w:ilvl w:val="0"/>
                <w:numId w:val="14"/>
              </w:numPr>
              <w:ind w:left="313" w:hanging="284"/>
              <w:rPr>
                <w:sz w:val="20"/>
                <w:szCs w:val="20"/>
              </w:rPr>
            </w:pPr>
            <w:r w:rsidRPr="00B43FD8">
              <w:rPr>
                <w:sz w:val="20"/>
                <w:szCs w:val="20"/>
              </w:rPr>
              <w:t xml:space="preserve">Summary of Product Characteristics (SPC) Acetylcysteine 200mg powder (Colonis Pharma) last updated 4/7/2018. </w:t>
            </w:r>
            <w:hyperlink r:id="rId8" w:history="1">
              <w:r w:rsidRPr="00B43FD8">
                <w:rPr>
                  <w:rStyle w:val="Hyperlink"/>
                  <w:sz w:val="20"/>
                  <w:szCs w:val="20"/>
                </w:rPr>
                <w:t>www.medicines.org.uk</w:t>
              </w:r>
            </w:hyperlink>
            <w:r w:rsidRPr="00B43FD8">
              <w:rPr>
                <w:sz w:val="20"/>
                <w:szCs w:val="20"/>
              </w:rPr>
              <w:t xml:space="preserve"> accessed 22 May 2019</w:t>
            </w:r>
          </w:p>
          <w:p w:rsidR="006969A1" w:rsidRPr="00B43FD8" w:rsidRDefault="006969A1" w:rsidP="006969A1">
            <w:pPr>
              <w:pStyle w:val="ListParagraph"/>
              <w:numPr>
                <w:ilvl w:val="0"/>
                <w:numId w:val="14"/>
              </w:numPr>
              <w:ind w:left="313" w:hanging="284"/>
              <w:rPr>
                <w:sz w:val="20"/>
                <w:szCs w:val="20"/>
              </w:rPr>
            </w:pPr>
            <w:r w:rsidRPr="00B43FD8">
              <w:rPr>
                <w:sz w:val="20"/>
                <w:szCs w:val="20"/>
              </w:rPr>
              <w:t xml:space="preserve">SPC Aceteff 600mg effervescent tablets (Dunelm Pharmaceuticals) last updated 5/4/17 </w:t>
            </w:r>
            <w:hyperlink r:id="rId9" w:history="1">
              <w:r w:rsidRPr="00B43FD8">
                <w:rPr>
                  <w:rStyle w:val="Hyperlink"/>
                  <w:sz w:val="20"/>
                  <w:szCs w:val="20"/>
                </w:rPr>
                <w:t>http://www.mhra.gov.uk/home/groups/spcpil/documents/spcpil/con1491543031052.pdf accessed 23 May 2019</w:t>
              </w:r>
            </w:hyperlink>
          </w:p>
          <w:p w:rsidR="006969A1" w:rsidRPr="00B43FD8" w:rsidRDefault="006969A1" w:rsidP="006969A1">
            <w:pPr>
              <w:pStyle w:val="ListParagraph"/>
              <w:numPr>
                <w:ilvl w:val="0"/>
                <w:numId w:val="14"/>
              </w:numPr>
              <w:ind w:left="313" w:hanging="284"/>
              <w:rPr>
                <w:sz w:val="20"/>
                <w:szCs w:val="20"/>
              </w:rPr>
            </w:pPr>
            <w:r w:rsidRPr="00B43FD8">
              <w:rPr>
                <w:sz w:val="20"/>
                <w:szCs w:val="20"/>
              </w:rPr>
              <w:t xml:space="preserve">SPC NACSYS 600mg effervescent tablets (Atlantic Pharma) last updated 11/5/17. </w:t>
            </w:r>
            <w:hyperlink r:id="rId10" w:history="1">
              <w:r w:rsidRPr="00B43FD8">
                <w:rPr>
                  <w:rStyle w:val="Hyperlink"/>
                  <w:sz w:val="20"/>
                  <w:szCs w:val="20"/>
                </w:rPr>
                <w:t>www.medicines.org.uk</w:t>
              </w:r>
            </w:hyperlink>
            <w:r w:rsidRPr="00B43FD8">
              <w:rPr>
                <w:sz w:val="20"/>
                <w:szCs w:val="20"/>
              </w:rPr>
              <w:t xml:space="preserve"> accessed 4/6/2019</w:t>
            </w:r>
          </w:p>
          <w:p w:rsidR="006969A1" w:rsidRPr="00B43FD8" w:rsidRDefault="006969A1" w:rsidP="006969A1">
            <w:pPr>
              <w:pStyle w:val="ListParagraph"/>
              <w:numPr>
                <w:ilvl w:val="0"/>
                <w:numId w:val="14"/>
              </w:numPr>
              <w:ind w:left="313" w:hanging="284"/>
              <w:rPr>
                <w:sz w:val="20"/>
                <w:szCs w:val="20"/>
              </w:rPr>
            </w:pPr>
            <w:r w:rsidRPr="00B43FD8">
              <w:rPr>
                <w:sz w:val="20"/>
                <w:szCs w:val="20"/>
              </w:rPr>
              <w:t>Email correspondence on file: NACSYS. Atlantic Pharma Medicines information. Received 24 May 2019</w:t>
            </w:r>
          </w:p>
          <w:p w:rsidR="006969A1" w:rsidRPr="00B43FD8" w:rsidRDefault="006969A1" w:rsidP="006969A1">
            <w:pPr>
              <w:pStyle w:val="ListParagraph"/>
              <w:numPr>
                <w:ilvl w:val="0"/>
                <w:numId w:val="14"/>
              </w:numPr>
              <w:ind w:left="313" w:hanging="284"/>
              <w:rPr>
                <w:sz w:val="20"/>
                <w:szCs w:val="20"/>
              </w:rPr>
            </w:pPr>
            <w:r w:rsidRPr="00B43FD8">
              <w:rPr>
                <w:sz w:val="20"/>
                <w:szCs w:val="20"/>
              </w:rPr>
              <w:t>Email correspondence on file: Acetylcysteine. Colonis Pharma Medicines information. Received 17 May 2019</w:t>
            </w:r>
          </w:p>
          <w:p w:rsidR="005B5B21" w:rsidRPr="00B43FD8" w:rsidRDefault="005B5B21" w:rsidP="006969A1">
            <w:pPr>
              <w:pStyle w:val="ListParagraph"/>
              <w:numPr>
                <w:ilvl w:val="0"/>
                <w:numId w:val="14"/>
              </w:numPr>
              <w:ind w:left="313" w:hanging="284"/>
              <w:rPr>
                <w:sz w:val="20"/>
                <w:szCs w:val="20"/>
              </w:rPr>
            </w:pPr>
            <w:r w:rsidRPr="00B43FD8">
              <w:rPr>
                <w:sz w:val="20"/>
                <w:szCs w:val="20"/>
              </w:rPr>
              <w:t xml:space="preserve">Drug Tariff </w:t>
            </w:r>
            <w:r w:rsidR="006969A1" w:rsidRPr="00B43FD8">
              <w:rPr>
                <w:sz w:val="20"/>
                <w:szCs w:val="20"/>
              </w:rPr>
              <w:t>May 2019</w:t>
            </w:r>
            <w:r w:rsidRPr="00B43FD8">
              <w:rPr>
                <w:sz w:val="20"/>
                <w:szCs w:val="20"/>
              </w:rPr>
              <w:t xml:space="preserve"> </w:t>
            </w:r>
            <w:hyperlink r:id="rId11" w:history="1">
              <w:r w:rsidRPr="00B43FD8">
                <w:rPr>
                  <w:rStyle w:val="Hyperlink"/>
                  <w:sz w:val="20"/>
                  <w:szCs w:val="20"/>
                </w:rPr>
                <w:t>https://www.nhsbsa.nhs.uk/pharmacies-gp-practices-and-appliance-contractors/drug-tariff</w:t>
              </w:r>
            </w:hyperlink>
            <w:r w:rsidRPr="00B43FD8">
              <w:rPr>
                <w:sz w:val="20"/>
                <w:szCs w:val="20"/>
              </w:rPr>
              <w:t xml:space="preserve"> </w:t>
            </w:r>
            <w:r w:rsidR="006969A1" w:rsidRPr="00B43FD8">
              <w:rPr>
                <w:sz w:val="20"/>
                <w:szCs w:val="20"/>
              </w:rPr>
              <w:t>date accessed 23 May 2019</w:t>
            </w:r>
          </w:p>
          <w:p w:rsidR="00BF3929" w:rsidRDefault="00BF3929" w:rsidP="00BF3929">
            <w:pPr>
              <w:pStyle w:val="ListParagraph"/>
              <w:numPr>
                <w:ilvl w:val="0"/>
                <w:numId w:val="14"/>
              </w:numPr>
              <w:ind w:left="313" w:hanging="284"/>
            </w:pPr>
            <w:r w:rsidRPr="00B43FD8">
              <w:rPr>
                <w:sz w:val="20"/>
                <w:szCs w:val="20"/>
              </w:rPr>
              <w:t xml:space="preserve">NHSBSA Dictionary of medicines and devices (dm+d) NACSYS price last updated 16/10/2017 </w:t>
            </w:r>
            <w:hyperlink r:id="rId12" w:history="1">
              <w:r w:rsidRPr="00B43FD8">
                <w:rPr>
                  <w:rStyle w:val="Hyperlink"/>
                  <w:sz w:val="20"/>
                  <w:szCs w:val="20"/>
                </w:rPr>
                <w:t>https://www.nhsbsa.nhs.uk/pharmacies-gp-practices-and-appliance-contractors/dictionary-medicines-and-devices-dmd</w:t>
              </w:r>
            </w:hyperlink>
            <w:r w:rsidRPr="00B43FD8">
              <w:rPr>
                <w:sz w:val="20"/>
                <w:szCs w:val="20"/>
              </w:rPr>
              <w:t xml:space="preserve"> date accessed 17 July 2019</w:t>
            </w:r>
          </w:p>
        </w:tc>
      </w:tr>
      <w:tr w:rsidR="005B5B21" w:rsidTr="0039078E">
        <w:tc>
          <w:tcPr>
            <w:tcW w:w="9016" w:type="dxa"/>
            <w:gridSpan w:val="4"/>
            <w:tcBorders>
              <w:top w:val="single" w:sz="4" w:space="0" w:color="auto"/>
              <w:left w:val="single" w:sz="4" w:space="0" w:color="auto"/>
              <w:bottom w:val="single" w:sz="4" w:space="0" w:color="auto"/>
              <w:right w:val="single" w:sz="4" w:space="0" w:color="auto"/>
            </w:tcBorders>
            <w:hideMark/>
          </w:tcPr>
          <w:p w:rsidR="005B5B21" w:rsidRDefault="00772B37" w:rsidP="0039078E">
            <w:r w:rsidRPr="00F7375C">
              <w:rPr>
                <w:rFonts w:cs="Arial"/>
                <w:b/>
              </w:rPr>
              <w:t xml:space="preserve">Please note: </w:t>
            </w:r>
            <w:r>
              <w:rPr>
                <w:rFonts w:cs="Arial"/>
                <w:b/>
              </w:rPr>
              <w:t>full instructions should be provided to the person administering the medicine. This is guidance only and should not determine individualised care.</w:t>
            </w:r>
          </w:p>
        </w:tc>
      </w:tr>
      <w:tr w:rsidR="005B5B21" w:rsidTr="0039078E">
        <w:trPr>
          <w:trHeight w:val="503"/>
        </w:trPr>
        <w:tc>
          <w:tcPr>
            <w:tcW w:w="9016" w:type="dxa"/>
            <w:gridSpan w:val="4"/>
            <w:tcBorders>
              <w:top w:val="single" w:sz="4" w:space="0" w:color="auto"/>
              <w:left w:val="single" w:sz="4" w:space="0" w:color="auto"/>
              <w:bottom w:val="single" w:sz="4" w:space="0" w:color="auto"/>
              <w:right w:val="single" w:sz="4" w:space="0" w:color="auto"/>
            </w:tcBorders>
            <w:hideMark/>
          </w:tcPr>
          <w:p w:rsidR="005B5B21" w:rsidRDefault="005B5B21" w:rsidP="0039078E">
            <w:r>
              <w:t>Author: Vicki Kong, QIPP Programme Pharmacist, BHR CCGs</w:t>
            </w:r>
          </w:p>
          <w:p w:rsidR="005B5B21" w:rsidRDefault="005B5B21" w:rsidP="0039078E">
            <w:r>
              <w:t>Approved by BHR CCGs Area Prescribing sub-Committees:</w:t>
            </w:r>
            <w:r w:rsidR="00FD5A11">
              <w:t xml:space="preserve"> July 2019</w:t>
            </w:r>
          </w:p>
        </w:tc>
      </w:tr>
      <w:tr w:rsidR="005B5B21" w:rsidTr="0039078E">
        <w:trPr>
          <w:trHeight w:val="259"/>
        </w:trPr>
        <w:tc>
          <w:tcPr>
            <w:tcW w:w="4508" w:type="dxa"/>
            <w:gridSpan w:val="2"/>
            <w:tcBorders>
              <w:top w:val="single" w:sz="4" w:space="0" w:color="auto"/>
              <w:left w:val="single" w:sz="4" w:space="0" w:color="auto"/>
              <w:bottom w:val="single" w:sz="4" w:space="0" w:color="auto"/>
              <w:right w:val="single" w:sz="4" w:space="0" w:color="auto"/>
            </w:tcBorders>
            <w:hideMark/>
          </w:tcPr>
          <w:p w:rsidR="005B5B21" w:rsidRDefault="005B5B21" w:rsidP="0039078E">
            <w:r>
              <w:t>Review date:</w:t>
            </w:r>
            <w:r w:rsidR="00FD5A11">
              <w:t xml:space="preserve"> July 2021</w:t>
            </w:r>
          </w:p>
        </w:tc>
        <w:tc>
          <w:tcPr>
            <w:tcW w:w="4508" w:type="dxa"/>
            <w:gridSpan w:val="2"/>
            <w:tcBorders>
              <w:top w:val="single" w:sz="4" w:space="0" w:color="auto"/>
              <w:left w:val="single" w:sz="4" w:space="0" w:color="auto"/>
              <w:bottom w:val="single" w:sz="4" w:space="0" w:color="auto"/>
              <w:right w:val="single" w:sz="4" w:space="0" w:color="auto"/>
            </w:tcBorders>
            <w:hideMark/>
          </w:tcPr>
          <w:p w:rsidR="005B5B21" w:rsidRDefault="005B5B21" w:rsidP="0039078E">
            <w:r>
              <w:t>Version: 1</w:t>
            </w:r>
          </w:p>
        </w:tc>
      </w:tr>
    </w:tbl>
    <w:p w:rsidR="005E2FC9" w:rsidRDefault="005E2FC9" w:rsidP="00CB03FC">
      <w:pPr>
        <w:pStyle w:val="Header"/>
        <w:tabs>
          <w:tab w:val="clear" w:pos="4513"/>
          <w:tab w:val="clear" w:pos="9026"/>
        </w:tabs>
      </w:pPr>
    </w:p>
    <w:sectPr w:rsidR="005E2FC9" w:rsidSect="00E3055A">
      <w:headerReference w:type="default"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6F5" w:rsidRDefault="00D256F5" w:rsidP="00F72AFB">
      <w:r>
        <w:separator/>
      </w:r>
    </w:p>
  </w:endnote>
  <w:endnote w:type="continuationSeparator" w:id="0">
    <w:p w:rsidR="00D256F5" w:rsidRDefault="00D256F5"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F5" w:rsidRDefault="00D256F5">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D8" w:rsidRDefault="00B43FD8">
    <w:pPr>
      <w:pStyle w:val="Footer"/>
    </w:pPr>
    <w:r>
      <w:rPr>
        <w:noProof/>
        <w:lang w:eastAsia="en-GB"/>
      </w:rPr>
      <w:drawing>
        <wp:anchor distT="0" distB="0" distL="114300" distR="114300" simplePos="0" relativeHeight="251663360" behindDoc="1" locked="0" layoutInCell="1" allowOverlap="1" wp14:anchorId="2D2FDD65" wp14:editId="204D2E01">
          <wp:simplePos x="0" y="0"/>
          <wp:positionH relativeFrom="page">
            <wp:align>right</wp:align>
          </wp:positionH>
          <wp:positionV relativeFrom="page">
            <wp:posOffset>9777095</wp:posOffset>
          </wp:positionV>
          <wp:extent cx="6477000" cy="1076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6F5" w:rsidRDefault="00D256F5" w:rsidP="00F72AFB">
      <w:r>
        <w:separator/>
      </w:r>
    </w:p>
  </w:footnote>
  <w:footnote w:type="continuationSeparator" w:id="0">
    <w:p w:rsidR="00D256F5" w:rsidRDefault="00D256F5"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F5" w:rsidRDefault="00D256F5">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F5" w:rsidRDefault="00D256F5" w:rsidP="00DE3FC9">
    <w:pPr>
      <w:pStyle w:val="Header"/>
      <w:tabs>
        <w:tab w:val="clear" w:pos="4513"/>
        <w:tab w:val="clear" w:pos="9026"/>
        <w:tab w:val="left" w:pos="7875"/>
      </w:tabs>
    </w:pPr>
    <w:r>
      <w:rPr>
        <w:noProof/>
        <w:lang w:eastAsia="en-GB"/>
      </w:rPr>
      <w:drawing>
        <wp:anchor distT="0" distB="0" distL="114300" distR="114300" simplePos="0" relativeHeight="251661312" behindDoc="0" locked="0" layoutInCell="1" allowOverlap="1" wp14:anchorId="580D1FBC" wp14:editId="0A8764A3">
          <wp:simplePos x="0" y="0"/>
          <wp:positionH relativeFrom="margin">
            <wp:align>right</wp:align>
          </wp:positionH>
          <wp:positionV relativeFrom="paragraph">
            <wp:posOffset>-448310</wp:posOffset>
          </wp:positionV>
          <wp:extent cx="1943740" cy="914400"/>
          <wp:effectExtent l="0" t="0" r="0" b="0"/>
          <wp:wrapNone/>
          <wp:docPr id="4" name="Picture 4"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0"/>
  </w:num>
  <w:num w:numId="5">
    <w:abstractNumId w:val="13"/>
  </w:num>
  <w:num w:numId="6">
    <w:abstractNumId w:val="7"/>
  </w:num>
  <w:num w:numId="7">
    <w:abstractNumId w:val="3"/>
  </w:num>
  <w:num w:numId="8">
    <w:abstractNumId w:val="8"/>
  </w:num>
  <w:num w:numId="9">
    <w:abstractNumId w:val="9"/>
  </w:num>
  <w:num w:numId="10">
    <w:abstractNumId w:val="4"/>
  </w:num>
  <w:num w:numId="11">
    <w:abstractNumId w:val="11"/>
  </w:num>
  <w:num w:numId="12">
    <w:abstractNumId w:val="1"/>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aqUQEtezfyj3K++8aYaJFBs0tp4Dco4QXeBLqD3gBgmGSwF0gou741V/ELRyCgzMtkHrZVFTE4MED2AOzHgcw==" w:salt="pbbWNmmBkb47DRZcNGGQQ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43617"/>
    <w:rsid w:val="000760DA"/>
    <w:rsid w:val="00077947"/>
    <w:rsid w:val="000917D0"/>
    <w:rsid w:val="000B0333"/>
    <w:rsid w:val="000C7A55"/>
    <w:rsid w:val="000F6901"/>
    <w:rsid w:val="000F781D"/>
    <w:rsid w:val="00104B1F"/>
    <w:rsid w:val="00122DD3"/>
    <w:rsid w:val="00126DF3"/>
    <w:rsid w:val="00134D3A"/>
    <w:rsid w:val="001577C9"/>
    <w:rsid w:val="0016036D"/>
    <w:rsid w:val="00160CDD"/>
    <w:rsid w:val="0016214E"/>
    <w:rsid w:val="001865BA"/>
    <w:rsid w:val="00197836"/>
    <w:rsid w:val="001A1B36"/>
    <w:rsid w:val="001C7AFE"/>
    <w:rsid w:val="001D098E"/>
    <w:rsid w:val="001E07CC"/>
    <w:rsid w:val="001E1CC3"/>
    <w:rsid w:val="001F1CC6"/>
    <w:rsid w:val="0020558B"/>
    <w:rsid w:val="00214CBB"/>
    <w:rsid w:val="00222183"/>
    <w:rsid w:val="00234045"/>
    <w:rsid w:val="002342EC"/>
    <w:rsid w:val="002364C6"/>
    <w:rsid w:val="00241478"/>
    <w:rsid w:val="00241ECE"/>
    <w:rsid w:val="0024265C"/>
    <w:rsid w:val="0024651A"/>
    <w:rsid w:val="00252095"/>
    <w:rsid w:val="002671D5"/>
    <w:rsid w:val="002704A2"/>
    <w:rsid w:val="002709CC"/>
    <w:rsid w:val="00270B08"/>
    <w:rsid w:val="00272A84"/>
    <w:rsid w:val="00277FFA"/>
    <w:rsid w:val="002809E0"/>
    <w:rsid w:val="00285D6E"/>
    <w:rsid w:val="002B6CCF"/>
    <w:rsid w:val="002C1C09"/>
    <w:rsid w:val="002D01AD"/>
    <w:rsid w:val="002E0D4E"/>
    <w:rsid w:val="002E1B4E"/>
    <w:rsid w:val="002E5A1D"/>
    <w:rsid w:val="002E6888"/>
    <w:rsid w:val="00300289"/>
    <w:rsid w:val="00320699"/>
    <w:rsid w:val="003413AC"/>
    <w:rsid w:val="00354724"/>
    <w:rsid w:val="00357A02"/>
    <w:rsid w:val="0036692A"/>
    <w:rsid w:val="00374E37"/>
    <w:rsid w:val="00376A86"/>
    <w:rsid w:val="00384499"/>
    <w:rsid w:val="0039078E"/>
    <w:rsid w:val="003944A6"/>
    <w:rsid w:val="003B31C2"/>
    <w:rsid w:val="003C1217"/>
    <w:rsid w:val="003C68B4"/>
    <w:rsid w:val="003D10FA"/>
    <w:rsid w:val="003E034C"/>
    <w:rsid w:val="003E23B6"/>
    <w:rsid w:val="003F400B"/>
    <w:rsid w:val="003F638B"/>
    <w:rsid w:val="00402382"/>
    <w:rsid w:val="004037B0"/>
    <w:rsid w:val="00427931"/>
    <w:rsid w:val="00441FEE"/>
    <w:rsid w:val="004561D7"/>
    <w:rsid w:val="004818F1"/>
    <w:rsid w:val="004C2CD3"/>
    <w:rsid w:val="004D2139"/>
    <w:rsid w:val="004D2188"/>
    <w:rsid w:val="004D5974"/>
    <w:rsid w:val="004D5F5F"/>
    <w:rsid w:val="004D7296"/>
    <w:rsid w:val="004E4206"/>
    <w:rsid w:val="004F37B6"/>
    <w:rsid w:val="004F7CC4"/>
    <w:rsid w:val="005004A6"/>
    <w:rsid w:val="00506B6B"/>
    <w:rsid w:val="00522505"/>
    <w:rsid w:val="00524D92"/>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7DE2"/>
    <w:rsid w:val="005D42B8"/>
    <w:rsid w:val="005E0222"/>
    <w:rsid w:val="005E2FC9"/>
    <w:rsid w:val="005E3406"/>
    <w:rsid w:val="00606A4A"/>
    <w:rsid w:val="00607E03"/>
    <w:rsid w:val="00623B6D"/>
    <w:rsid w:val="00623C8F"/>
    <w:rsid w:val="00633F9D"/>
    <w:rsid w:val="0063717A"/>
    <w:rsid w:val="0064114F"/>
    <w:rsid w:val="006436C2"/>
    <w:rsid w:val="006766ED"/>
    <w:rsid w:val="006774AA"/>
    <w:rsid w:val="00694C20"/>
    <w:rsid w:val="006969A1"/>
    <w:rsid w:val="006A51E3"/>
    <w:rsid w:val="006B5DD9"/>
    <w:rsid w:val="006C3FC2"/>
    <w:rsid w:val="006D77BC"/>
    <w:rsid w:val="006F39B0"/>
    <w:rsid w:val="006F5F76"/>
    <w:rsid w:val="006F6618"/>
    <w:rsid w:val="0070746C"/>
    <w:rsid w:val="007179B9"/>
    <w:rsid w:val="00730141"/>
    <w:rsid w:val="0073460E"/>
    <w:rsid w:val="007531AC"/>
    <w:rsid w:val="00755BB0"/>
    <w:rsid w:val="00766C97"/>
    <w:rsid w:val="007704BA"/>
    <w:rsid w:val="00772B37"/>
    <w:rsid w:val="00794EBA"/>
    <w:rsid w:val="007A30B7"/>
    <w:rsid w:val="007A4D1E"/>
    <w:rsid w:val="007C1D62"/>
    <w:rsid w:val="007C3222"/>
    <w:rsid w:val="007D6AB7"/>
    <w:rsid w:val="007E2A1B"/>
    <w:rsid w:val="00802D12"/>
    <w:rsid w:val="00831035"/>
    <w:rsid w:val="0084332A"/>
    <w:rsid w:val="00855E1A"/>
    <w:rsid w:val="00861368"/>
    <w:rsid w:val="0086351F"/>
    <w:rsid w:val="00896D3A"/>
    <w:rsid w:val="008C5F64"/>
    <w:rsid w:val="008D4ABE"/>
    <w:rsid w:val="008E2AF0"/>
    <w:rsid w:val="008F6520"/>
    <w:rsid w:val="00915F17"/>
    <w:rsid w:val="009279D5"/>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70EF"/>
    <w:rsid w:val="00A4100F"/>
    <w:rsid w:val="00A41A24"/>
    <w:rsid w:val="00A4776C"/>
    <w:rsid w:val="00A54B6C"/>
    <w:rsid w:val="00A62384"/>
    <w:rsid w:val="00A65FAC"/>
    <w:rsid w:val="00A74535"/>
    <w:rsid w:val="00A751FC"/>
    <w:rsid w:val="00AB4D39"/>
    <w:rsid w:val="00AB6864"/>
    <w:rsid w:val="00AC5C0C"/>
    <w:rsid w:val="00AC7519"/>
    <w:rsid w:val="00AD1D5F"/>
    <w:rsid w:val="00AE09D5"/>
    <w:rsid w:val="00AE1708"/>
    <w:rsid w:val="00AE3818"/>
    <w:rsid w:val="00AF43EB"/>
    <w:rsid w:val="00B0193A"/>
    <w:rsid w:val="00B10EBF"/>
    <w:rsid w:val="00B21484"/>
    <w:rsid w:val="00B33629"/>
    <w:rsid w:val="00B41FFB"/>
    <w:rsid w:val="00B43FD8"/>
    <w:rsid w:val="00B81537"/>
    <w:rsid w:val="00BA026A"/>
    <w:rsid w:val="00BA23C1"/>
    <w:rsid w:val="00BC1561"/>
    <w:rsid w:val="00BE243A"/>
    <w:rsid w:val="00BE7695"/>
    <w:rsid w:val="00BF3929"/>
    <w:rsid w:val="00C059FD"/>
    <w:rsid w:val="00C311BD"/>
    <w:rsid w:val="00C37A2E"/>
    <w:rsid w:val="00C43EB0"/>
    <w:rsid w:val="00C519C8"/>
    <w:rsid w:val="00C61A2C"/>
    <w:rsid w:val="00C712BA"/>
    <w:rsid w:val="00C76204"/>
    <w:rsid w:val="00C874C2"/>
    <w:rsid w:val="00C944BE"/>
    <w:rsid w:val="00CA5D27"/>
    <w:rsid w:val="00CB03FC"/>
    <w:rsid w:val="00CB5BEE"/>
    <w:rsid w:val="00CC378A"/>
    <w:rsid w:val="00CC4E07"/>
    <w:rsid w:val="00D01CFF"/>
    <w:rsid w:val="00D143A7"/>
    <w:rsid w:val="00D256F5"/>
    <w:rsid w:val="00D31A43"/>
    <w:rsid w:val="00D34211"/>
    <w:rsid w:val="00D40C13"/>
    <w:rsid w:val="00D47C11"/>
    <w:rsid w:val="00D53F74"/>
    <w:rsid w:val="00D631A9"/>
    <w:rsid w:val="00D70D06"/>
    <w:rsid w:val="00D82A51"/>
    <w:rsid w:val="00D97D47"/>
    <w:rsid w:val="00DA205A"/>
    <w:rsid w:val="00DA7366"/>
    <w:rsid w:val="00DB0AE1"/>
    <w:rsid w:val="00DC53FE"/>
    <w:rsid w:val="00DC6086"/>
    <w:rsid w:val="00DD4709"/>
    <w:rsid w:val="00DD5319"/>
    <w:rsid w:val="00DD6900"/>
    <w:rsid w:val="00DE3FC9"/>
    <w:rsid w:val="00DE4A25"/>
    <w:rsid w:val="00DE6594"/>
    <w:rsid w:val="00DF4805"/>
    <w:rsid w:val="00DF7D00"/>
    <w:rsid w:val="00E14E49"/>
    <w:rsid w:val="00E159AF"/>
    <w:rsid w:val="00E22943"/>
    <w:rsid w:val="00E3055A"/>
    <w:rsid w:val="00E31C78"/>
    <w:rsid w:val="00E51F8F"/>
    <w:rsid w:val="00E52E30"/>
    <w:rsid w:val="00E6760B"/>
    <w:rsid w:val="00E73F03"/>
    <w:rsid w:val="00E805CD"/>
    <w:rsid w:val="00E8609B"/>
    <w:rsid w:val="00EB08B7"/>
    <w:rsid w:val="00ED329C"/>
    <w:rsid w:val="00EE1154"/>
    <w:rsid w:val="00F14909"/>
    <w:rsid w:val="00F52982"/>
    <w:rsid w:val="00F66B94"/>
    <w:rsid w:val="00F72AFB"/>
    <w:rsid w:val="00F746B9"/>
    <w:rsid w:val="00FA2BAA"/>
    <w:rsid w:val="00FA61A4"/>
    <w:rsid w:val="00FC55DB"/>
    <w:rsid w:val="00FC5786"/>
    <w:rsid w:val="00FC7E87"/>
    <w:rsid w:val="00FD55F6"/>
    <w:rsid w:val="00FD5A11"/>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bsa.nhs.uk/pharmacies-gp-practices-and-appliance-contractors/dictionary-medicines-and-devices-d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bsa.nhs.uk/pharmacies-gp-practices-and-appliance-contractors/drug-tarif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dicines.org.uk" TargetMode="External"/><Relationship Id="rId4" Type="http://schemas.openxmlformats.org/officeDocument/2006/relationships/settings" Target="settings.xml"/><Relationship Id="rId9" Type="http://schemas.openxmlformats.org/officeDocument/2006/relationships/hyperlink" Target="http://www.mhra.gov.uk/home/groups/spcpil/documents/spcpil/con1491543031052.pdf%20accessed%2023%20May%20201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1FD28-6FC9-4624-AA3C-18B2BF8D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6</cp:revision>
  <cp:lastPrinted>2019-10-29T10:00:00Z</cp:lastPrinted>
  <dcterms:created xsi:type="dcterms:W3CDTF">2019-10-29T09:51:00Z</dcterms:created>
  <dcterms:modified xsi:type="dcterms:W3CDTF">2019-11-27T14:24:00Z</dcterms:modified>
</cp:coreProperties>
</file>